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111E3D" w14:textId="77777777" w:rsidR="00114586" w:rsidRPr="00114586" w:rsidRDefault="00114586" w:rsidP="00114586">
      <w:pPr>
        <w:numPr>
          <w:ilvl w:val="0"/>
          <w:numId w:val="1"/>
        </w:numPr>
        <w:spacing w:after="0" w:line="270" w:lineRule="atLeast"/>
        <w:ind w:left="0"/>
        <w:rPr>
          <w:rFonts w:ascii="inherit" w:eastAsia="Times New Roman" w:hAnsi="inherit" w:cs="Times New Roman"/>
          <w:color w:val="808080"/>
          <w:sz w:val="20"/>
          <w:szCs w:val="20"/>
        </w:rPr>
      </w:pPr>
      <w:r w:rsidRPr="00114586">
        <w:rPr>
          <w:rFonts w:ascii="inherit" w:eastAsia="Times New Roman" w:hAnsi="inherit" w:cs="Times New Roman"/>
          <w:color w:val="808080"/>
          <w:sz w:val="20"/>
          <w:szCs w:val="20"/>
        </w:rPr>
        <w:fldChar w:fldCharType="begin"/>
      </w:r>
      <w:r w:rsidRPr="00114586">
        <w:rPr>
          <w:rFonts w:ascii="inherit" w:eastAsia="Times New Roman" w:hAnsi="inherit" w:cs="Times New Roman"/>
          <w:color w:val="808080"/>
          <w:sz w:val="20"/>
          <w:szCs w:val="20"/>
        </w:rPr>
        <w:instrText xml:space="preserve"> HYPERLINK "https://content.ashford.edu/Bookshelf" </w:instrText>
      </w:r>
      <w:r w:rsidRPr="00114586">
        <w:rPr>
          <w:rFonts w:ascii="inherit" w:eastAsia="Times New Roman" w:hAnsi="inherit" w:cs="Times New Roman"/>
          <w:color w:val="808080"/>
          <w:sz w:val="20"/>
          <w:szCs w:val="20"/>
        </w:rPr>
        <w:fldChar w:fldCharType="separate"/>
      </w:r>
      <w:r w:rsidRPr="00114586">
        <w:rPr>
          <w:rFonts w:ascii="inherit" w:eastAsia="Times New Roman" w:hAnsi="inherit" w:cs="Times New Roman"/>
          <w:color w:val="0069D6"/>
          <w:sz w:val="20"/>
          <w:szCs w:val="20"/>
          <w:u w:val="single"/>
          <w:bdr w:val="none" w:sz="0" w:space="0" w:color="auto" w:frame="1"/>
        </w:rPr>
        <w:t>My Bookshelf</w:t>
      </w:r>
      <w:r w:rsidRPr="00114586">
        <w:rPr>
          <w:rFonts w:ascii="inherit" w:eastAsia="Times New Roman" w:hAnsi="inherit" w:cs="Times New Roman"/>
          <w:color w:val="808080"/>
          <w:sz w:val="20"/>
          <w:szCs w:val="20"/>
        </w:rPr>
        <w:fldChar w:fldCharType="end"/>
      </w:r>
    </w:p>
    <w:p w14:paraId="24C1E2A7" w14:textId="77777777" w:rsidR="00114586" w:rsidRPr="00114586" w:rsidRDefault="00114586" w:rsidP="00114586">
      <w:pPr>
        <w:numPr>
          <w:ilvl w:val="0"/>
          <w:numId w:val="1"/>
        </w:numPr>
        <w:spacing w:after="0" w:line="270" w:lineRule="atLeast"/>
        <w:ind w:left="0"/>
        <w:rPr>
          <w:rFonts w:ascii="inherit" w:eastAsia="Times New Roman" w:hAnsi="inherit" w:cs="Times New Roman"/>
          <w:color w:val="808080"/>
          <w:sz w:val="20"/>
          <w:szCs w:val="20"/>
        </w:rPr>
      </w:pPr>
      <w:hyperlink r:id="rId5" w:anchor="toc" w:history="1">
        <w:r w:rsidRPr="00114586">
          <w:rPr>
            <w:rFonts w:ascii="inherit" w:eastAsia="Times New Roman" w:hAnsi="inherit" w:cs="Times New Roman"/>
            <w:color w:val="0069D6"/>
            <w:sz w:val="20"/>
            <w:szCs w:val="20"/>
            <w:u w:val="single"/>
            <w:bdr w:val="none" w:sz="0" w:space="0" w:color="auto" w:frame="1"/>
          </w:rPr>
          <w:t>TOC/Annotation menu</w:t>
        </w:r>
      </w:hyperlink>
    </w:p>
    <w:p w14:paraId="3D20E800" w14:textId="77777777" w:rsidR="00114586" w:rsidRPr="00114586" w:rsidRDefault="00114586" w:rsidP="00114586">
      <w:pPr>
        <w:numPr>
          <w:ilvl w:val="0"/>
          <w:numId w:val="2"/>
        </w:numPr>
        <w:spacing w:after="0" w:line="270" w:lineRule="atLeast"/>
        <w:ind w:left="0"/>
        <w:rPr>
          <w:rFonts w:ascii="inherit" w:eastAsia="Times New Roman" w:hAnsi="inherit" w:cs="Times New Roman"/>
          <w:color w:val="808080"/>
          <w:sz w:val="20"/>
          <w:szCs w:val="20"/>
        </w:rPr>
      </w:pPr>
      <w:hyperlink r:id="rId6" w:anchor="options" w:history="1">
        <w:r w:rsidRPr="00114586">
          <w:rPr>
            <w:rFonts w:ascii="inherit" w:eastAsia="Times New Roman" w:hAnsi="inherit" w:cs="Times New Roman"/>
            <w:color w:val="0069D6"/>
            <w:sz w:val="20"/>
            <w:szCs w:val="20"/>
            <w:u w:val="single"/>
            <w:bdr w:val="none" w:sz="0" w:space="0" w:color="auto" w:frame="1"/>
          </w:rPr>
          <w:t>Downloads</w:t>
        </w:r>
      </w:hyperlink>
    </w:p>
    <w:p w14:paraId="32711ED8" w14:textId="77777777" w:rsidR="00114586" w:rsidRPr="00114586" w:rsidRDefault="00114586" w:rsidP="00114586">
      <w:pPr>
        <w:numPr>
          <w:ilvl w:val="0"/>
          <w:numId w:val="2"/>
        </w:numPr>
        <w:spacing w:after="0" w:line="270" w:lineRule="atLeast"/>
        <w:ind w:left="0"/>
        <w:rPr>
          <w:rFonts w:ascii="inherit" w:eastAsia="Times New Roman" w:hAnsi="inherit" w:cs="Times New Roman"/>
          <w:color w:val="808080"/>
          <w:sz w:val="20"/>
          <w:szCs w:val="20"/>
        </w:rPr>
      </w:pPr>
      <w:hyperlink r:id="rId7" w:history="1">
        <w:r w:rsidRPr="00114586">
          <w:rPr>
            <w:rFonts w:ascii="inherit" w:eastAsia="Times New Roman" w:hAnsi="inherit" w:cs="Times New Roman"/>
            <w:color w:val="0069D6"/>
            <w:sz w:val="20"/>
            <w:szCs w:val="20"/>
            <w:u w:val="single"/>
            <w:bdr w:val="none" w:sz="0" w:space="0" w:color="auto" w:frame="1"/>
          </w:rPr>
          <w:t>Print</w:t>
        </w:r>
      </w:hyperlink>
    </w:p>
    <w:p w14:paraId="38B90BF3" w14:textId="77777777" w:rsidR="00114586" w:rsidRPr="00114586" w:rsidRDefault="00114586" w:rsidP="00114586">
      <w:pPr>
        <w:numPr>
          <w:ilvl w:val="0"/>
          <w:numId w:val="2"/>
        </w:numPr>
        <w:spacing w:after="0" w:line="270" w:lineRule="atLeast"/>
        <w:ind w:left="0"/>
        <w:rPr>
          <w:rFonts w:ascii="inherit" w:eastAsia="Times New Roman" w:hAnsi="inherit" w:cs="Times New Roman"/>
          <w:color w:val="808080"/>
          <w:sz w:val="20"/>
          <w:szCs w:val="20"/>
        </w:rPr>
      </w:pPr>
      <w:hyperlink r:id="rId8" w:anchor="search" w:history="1">
        <w:r w:rsidRPr="00114586">
          <w:rPr>
            <w:rFonts w:ascii="inherit" w:eastAsia="Times New Roman" w:hAnsi="inherit" w:cs="Times New Roman"/>
            <w:color w:val="0069D6"/>
            <w:sz w:val="20"/>
            <w:szCs w:val="20"/>
            <w:u w:val="single"/>
            <w:bdr w:val="none" w:sz="0" w:space="0" w:color="auto" w:frame="1"/>
          </w:rPr>
          <w:t>Search</w:t>
        </w:r>
      </w:hyperlink>
    </w:p>
    <w:p w14:paraId="2E0C4E0F" w14:textId="77777777" w:rsidR="00114586" w:rsidRPr="00114586" w:rsidRDefault="00114586" w:rsidP="00114586">
      <w:pPr>
        <w:numPr>
          <w:ilvl w:val="0"/>
          <w:numId w:val="2"/>
        </w:numPr>
        <w:spacing w:after="0" w:line="270" w:lineRule="atLeast"/>
        <w:ind w:left="75"/>
        <w:rPr>
          <w:rFonts w:ascii="inherit" w:eastAsia="Times New Roman" w:hAnsi="inherit" w:cs="Times New Roman"/>
          <w:color w:val="808080"/>
          <w:sz w:val="20"/>
          <w:szCs w:val="20"/>
        </w:rPr>
      </w:pPr>
      <w:hyperlink r:id="rId9" w:anchor="profile" w:history="1">
        <w:r w:rsidRPr="00114586">
          <w:rPr>
            <w:rFonts w:ascii="inherit" w:eastAsia="Times New Roman" w:hAnsi="inherit" w:cs="Times New Roman"/>
            <w:color w:val="0069D6"/>
            <w:sz w:val="20"/>
            <w:szCs w:val="20"/>
            <w:u w:val="single"/>
            <w:bdr w:val="none" w:sz="0" w:space="0" w:color="auto" w:frame="1"/>
          </w:rPr>
          <w:t>Profile</w:t>
        </w:r>
      </w:hyperlink>
    </w:p>
    <w:p w14:paraId="291B54B1" w14:textId="77777777" w:rsidR="00114586" w:rsidRPr="00114586" w:rsidRDefault="00114586" w:rsidP="00114586">
      <w:pPr>
        <w:numPr>
          <w:ilvl w:val="0"/>
          <w:numId w:val="2"/>
        </w:numPr>
        <w:spacing w:after="0" w:line="270" w:lineRule="atLeast"/>
        <w:ind w:left="30"/>
        <w:rPr>
          <w:rFonts w:ascii="inherit" w:eastAsia="Times New Roman" w:hAnsi="inherit" w:cs="Times New Roman"/>
          <w:color w:val="808080"/>
          <w:sz w:val="20"/>
          <w:szCs w:val="20"/>
        </w:rPr>
      </w:pPr>
      <w:hyperlink r:id="rId10" w:anchor="help" w:history="1">
        <w:r w:rsidRPr="00114586">
          <w:rPr>
            <w:rFonts w:ascii="inherit" w:eastAsia="Times New Roman" w:hAnsi="inherit" w:cs="Times New Roman"/>
            <w:color w:val="0069D6"/>
            <w:sz w:val="20"/>
            <w:szCs w:val="20"/>
            <w:u w:val="single"/>
            <w:bdr w:val="none" w:sz="0" w:space="0" w:color="auto" w:frame="1"/>
          </w:rPr>
          <w:t>Help</w:t>
        </w:r>
      </w:hyperlink>
    </w:p>
    <w:p w14:paraId="188CC978" w14:textId="77777777" w:rsidR="00114586" w:rsidRPr="00114586" w:rsidRDefault="00114586" w:rsidP="00114586">
      <w:pPr>
        <w:spacing w:after="270" w:line="750" w:lineRule="atLeast"/>
        <w:jc w:val="center"/>
        <w:outlineLvl w:val="0"/>
        <w:rPr>
          <w:rFonts w:ascii="inherit" w:eastAsia="Times New Roman" w:hAnsi="inherit" w:cs="Times New Roman"/>
          <w:b/>
          <w:bCs/>
          <w:color w:val="EFEFEF"/>
          <w:kern w:val="36"/>
          <w:sz w:val="26"/>
          <w:szCs w:val="26"/>
        </w:rPr>
      </w:pPr>
      <w:r w:rsidRPr="00114586">
        <w:rPr>
          <w:rFonts w:ascii="inherit" w:eastAsia="Times New Roman" w:hAnsi="inherit" w:cs="Times New Roman"/>
          <w:b/>
          <w:bCs/>
          <w:color w:val="EFEFEF"/>
          <w:kern w:val="36"/>
          <w:sz w:val="26"/>
          <w:szCs w:val="26"/>
        </w:rPr>
        <w:t xml:space="preserve">4.1 The Nature and Roles of Men and </w:t>
      </w:r>
      <w:proofErr w:type="spellStart"/>
      <w:r w:rsidRPr="00114586">
        <w:rPr>
          <w:rFonts w:ascii="inherit" w:eastAsia="Times New Roman" w:hAnsi="inherit" w:cs="Times New Roman"/>
          <w:b/>
          <w:bCs/>
          <w:color w:val="EFEFEF"/>
          <w:kern w:val="36"/>
          <w:sz w:val="26"/>
          <w:szCs w:val="26"/>
        </w:rPr>
        <w:t>Wome</w:t>
      </w:r>
      <w:proofErr w:type="spellEnd"/>
      <w:r w:rsidRPr="00114586">
        <w:rPr>
          <w:rFonts w:ascii="inherit" w:eastAsia="Times New Roman" w:hAnsi="inherit" w:cs="Times New Roman"/>
          <w:b/>
          <w:bCs/>
          <w:color w:val="EFEFEF"/>
          <w:kern w:val="36"/>
          <w:sz w:val="26"/>
          <w:szCs w:val="26"/>
        </w:rPr>
        <w:t>…</w:t>
      </w:r>
    </w:p>
    <w:p w14:paraId="6C19B8CA" w14:textId="77777777" w:rsidR="00114586" w:rsidRPr="00114586" w:rsidRDefault="00114586" w:rsidP="00114586">
      <w:pPr>
        <w:shd w:val="clear" w:color="auto" w:fill="EDECE5"/>
        <w:spacing w:after="0" w:line="240" w:lineRule="auto"/>
        <w:rPr>
          <w:rFonts w:ascii="Times New Roman" w:eastAsia="Times New Roman" w:hAnsi="Times New Roman" w:cs="Times New Roman"/>
          <w:sz w:val="24"/>
          <w:szCs w:val="24"/>
        </w:rPr>
      </w:pPr>
      <w:hyperlink r:id="rId11" w:tooltip="[PrevSection]" w:history="1">
        <w:r w:rsidRPr="00114586">
          <w:rPr>
            <w:rFonts w:ascii="inherit" w:eastAsia="Times New Roman" w:hAnsi="inherit" w:cs="Times New Roman"/>
            <w:color w:val="0069D6"/>
            <w:sz w:val="20"/>
            <w:szCs w:val="20"/>
            <w:u w:val="single"/>
            <w:bdr w:val="none" w:sz="0" w:space="0" w:color="auto" w:frame="1"/>
          </w:rPr>
          <w:t>Previous section</w:t>
        </w:r>
      </w:hyperlink>
    </w:p>
    <w:p w14:paraId="31D30011" w14:textId="77777777" w:rsidR="00114586" w:rsidRPr="00114586" w:rsidRDefault="00114586" w:rsidP="00114586">
      <w:pPr>
        <w:shd w:val="clear" w:color="auto" w:fill="EDECE5"/>
        <w:spacing w:after="0" w:line="240" w:lineRule="auto"/>
        <w:rPr>
          <w:rFonts w:ascii="Times New Roman" w:eastAsia="Times New Roman" w:hAnsi="Times New Roman" w:cs="Times New Roman"/>
          <w:sz w:val="24"/>
          <w:szCs w:val="24"/>
        </w:rPr>
      </w:pPr>
      <w:hyperlink r:id="rId12" w:tooltip="Next Section" w:history="1">
        <w:r w:rsidRPr="00114586">
          <w:rPr>
            <w:rFonts w:ascii="inherit" w:eastAsia="Times New Roman" w:hAnsi="inherit" w:cs="Times New Roman"/>
            <w:color w:val="0069D6"/>
            <w:sz w:val="20"/>
            <w:szCs w:val="20"/>
            <w:u w:val="single"/>
            <w:bdr w:val="none" w:sz="0" w:space="0" w:color="auto" w:frame="1"/>
          </w:rPr>
          <w:t>Next section</w:t>
        </w:r>
      </w:hyperlink>
    </w:p>
    <w:p w14:paraId="06B64832" w14:textId="77777777" w:rsidR="00114586" w:rsidRPr="00114586" w:rsidRDefault="00114586" w:rsidP="00114586">
      <w:pPr>
        <w:spacing w:before="30" w:after="288" w:line="240" w:lineRule="auto"/>
        <w:jc w:val="center"/>
        <w:rPr>
          <w:rFonts w:ascii="Cambria" w:eastAsia="Times New Roman" w:hAnsi="Cambria" w:cs="Times New Roman"/>
          <w:b/>
          <w:bCs/>
          <w:color w:val="000000"/>
          <w:sz w:val="36"/>
          <w:szCs w:val="36"/>
        </w:rPr>
      </w:pPr>
      <w:r w:rsidRPr="00114586">
        <w:rPr>
          <w:rFonts w:ascii="Cambria" w:eastAsia="Times New Roman" w:hAnsi="Cambria" w:cs="Times New Roman"/>
          <w:b/>
          <w:bCs/>
          <w:color w:val="000000"/>
          <w:sz w:val="36"/>
          <w:szCs w:val="36"/>
        </w:rPr>
        <w:t>4.1 The Nature and Roles of Men and Women</w:t>
      </w:r>
    </w:p>
    <w:p w14:paraId="19FC6C99" w14:textId="77777777" w:rsidR="00114586" w:rsidRPr="00114586" w:rsidRDefault="00114586" w:rsidP="00114586">
      <w:pPr>
        <w:shd w:val="clear" w:color="auto" w:fill="FFFFFF"/>
        <w:spacing w:after="24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Until the development of women’s history, the subjects of most historical studies were men, and the actions and thoughts of men were whatmade it into the historical record. One would think, then, that it would be easier to discover ideas about men as a group than women as agroup, but the opposite is, in fact, the case. Educated men – the authors of most historical sources until very recently – saw women as anundifferentiated group about which they could easily make pronouncements and generalizations. They have thought and written aboutwomen since the beginning of recorded history, trying to determine what makes them different from men and creating ideals for femalebehavior and appearance. When they turned their attention to their own sex, however, they viewed men as too divided by differences of age,wealth, education, social standing, ability, and other factors to fall into a single category. As twentieth-century French feminist theorists put it,men saw women as a group as the Other, an object for their analyses, but saw themselves as the One, about whom generalizations whichextended to the whole sex were either impossible or unnecessary.</w:t>
      </w:r>
    </w:p>
    <w:p w14:paraId="03DEF989" w14:textId="77777777" w:rsidR="00114586" w:rsidRPr="00114586" w:rsidRDefault="00114586" w:rsidP="00114586">
      <w:pPr>
        <w:shd w:val="clear" w:color="auto" w:fill="FFFFFF"/>
        <w:spacing w:after="240" w:line="240" w:lineRule="auto"/>
        <w:ind w:firstLine="240"/>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The differences among men have often provided ways of conceptualizing societies and social or economic groups. In medieval Europe, forexample, society was thought of as divided into three groups: those who fought (nobles), those who prayed (clergy), and those who worked(peasants). Women were in some ways part of all of these groups, though they were not technically members of the clergy and they generallydid not fight, so that they did not fit this conceptualization exactly and they were rarely included in the many discussions about this tripartitesocial order. Instead a different tripartite structure was used to think about women, based on their relationship to men: virgin, wife, widow.Women also did not fit later Marxist distinctions between working class and middle class very well either; married women in many Europeancountries did not own any property independently, so had no direct control of the “means of production” so important in Marxist concepts ofcapitalism. Such differentiation among men was not limited to works of social or economic theory, but was often reflected (and reinforced) byactivities, ceremonies, and practices. In early modern European cities, for example, residents might celebrate the visit by a ruler or a religiousholiday with a procession, in which the men of the town marched in groups according to their political p</w:t>
      </w:r>
      <w:r w:rsidRPr="00114586">
        <w:rPr>
          <w:rFonts w:ascii="Cambria" w:eastAsia="Times New Roman" w:hAnsi="Cambria" w:cs="Times New Roman"/>
          <w:color w:val="000000"/>
          <w:sz w:val="24"/>
          <w:szCs w:val="24"/>
        </w:rPr>
        <w:lastRenderedPageBreak/>
        <w:t>ositions or occupation; women, ifthey marched at all, generally did so as an undifferentiated group at the end.</w:t>
      </w:r>
    </w:p>
    <w:p w14:paraId="1C17A8FB" w14:textId="77777777" w:rsidR="00114586" w:rsidRPr="00114586" w:rsidRDefault="00114586" w:rsidP="00114586">
      <w:pPr>
        <w:shd w:val="clear" w:color="auto" w:fill="FFFFFF"/>
        <w:spacing w:after="240" w:line="240" w:lineRule="auto"/>
        <w:ind w:firstLine="240"/>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Those who sought to overcome social and status differences also spoke of bringing together different groups of men; Thomas Jefferson’swords in the American Declaration of Independence expresses this as “all men are created equal,” and seventeenth-century English writerswanting to encompass all of society described their audience as “all men and both sexes.” (It is clear from Jefferson’s own writings and fromthis latter phrase that “all men” did not mean women in seventeenth- and eighteenth-century political theory, just as it is clear fromJefferson’s writings elsewhere as well as his actions that he did not really mean “all men” when he used that phrase.)</w:t>
      </w:r>
    </w:p>
    <w:p w14:paraId="52BA5F1A" w14:textId="77777777" w:rsidR="00114586" w:rsidRPr="00114586" w:rsidRDefault="00114586" w:rsidP="00114586">
      <w:pPr>
        <w:shd w:val="clear" w:color="auto" w:fill="FFFFFF"/>
        <w:spacing w:after="0" w:line="240" w:lineRule="auto"/>
        <w:ind w:firstLine="240"/>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Although they were very attuned to other sorts of differences, until very recently most discussions of men ignored gender. In nineteenth-century Europe and North America, for example, women were often described as “the Sex,” as if men did not have any. This sense that onegroup is an unmarked or default category (i.e., that in the case of gender one is always talking about a man unless noted otherwise, as in“woman doctor”) has also been noted by scholars of other subordinate groups. In terms of race, whiteness is the unmarked category,appearing much less often in discussions of an individual or group than does blackness. (Thus there are “authors” and “black authors.”) Thesetendencies, along with the tendency of labor history to focus on men, led scholars to quip: “Women have more gender, blacks have more race,but men have more class.” Thus books with titles like </w:t>
      </w:r>
      <w:r w:rsidRPr="00114586">
        <w:rPr>
          <w:rFonts w:ascii="inherit" w:eastAsia="Times New Roman" w:hAnsi="inherit" w:cs="Times New Roman"/>
          <w:i/>
          <w:iCs/>
          <w:color w:val="000000"/>
          <w:sz w:val="24"/>
          <w:szCs w:val="24"/>
          <w:bdr w:val="none" w:sz="0" w:space="0" w:color="auto" w:frame="1"/>
        </w:rPr>
        <w:t>Woman in Western Philosophy</w:t>
      </w:r>
      <w:r w:rsidRPr="00114586">
        <w:rPr>
          <w:rFonts w:ascii="Cambria" w:eastAsia="Times New Roman" w:hAnsi="Cambria" w:cs="Times New Roman"/>
          <w:color w:val="000000"/>
          <w:sz w:val="24"/>
          <w:szCs w:val="24"/>
        </w:rPr>
        <w:t> analyzed gender, while those with titles like </w:t>
      </w:r>
      <w:r w:rsidRPr="00114586">
        <w:rPr>
          <w:rFonts w:ascii="inherit" w:eastAsia="Times New Roman" w:hAnsi="inherit" w:cs="Times New Roman"/>
          <w:i/>
          <w:iCs/>
          <w:color w:val="000000"/>
          <w:sz w:val="24"/>
          <w:szCs w:val="24"/>
          <w:bdr w:val="none" w:sz="0" w:space="0" w:color="auto" w:frame="1"/>
        </w:rPr>
        <w:t>Man inWestern Philosophy</w:t>
      </w:r>
      <w:r w:rsidRPr="00114586">
        <w:rPr>
          <w:rFonts w:ascii="Cambria" w:eastAsia="Times New Roman" w:hAnsi="Cambria" w:cs="Times New Roman"/>
          <w:color w:val="000000"/>
          <w:sz w:val="24"/>
          <w:szCs w:val="24"/>
        </w:rPr>
        <w:t> generally did not, although as women’s history developed authors who continued to use “man” tried to argue that this wassomehow gender-neutral.</w:t>
      </w:r>
    </w:p>
    <w:p w14:paraId="52DF51F2" w14:textId="77777777" w:rsidR="00114586" w:rsidRPr="00114586" w:rsidRDefault="00114586" w:rsidP="00114586">
      <w:pPr>
        <w:shd w:val="clear" w:color="auto" w:fill="FFFFFF"/>
        <w:spacing w:after="240" w:line="240" w:lineRule="auto"/>
        <w:ind w:firstLine="240"/>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Within the last several decades this situation has changed dramatically, and the study of men as gendered beings has exploded in manyacademic fields, including history, literature, psychology, sociology, religion, and many others. Because of the long tradition of viewing men asdifferentiated, and, because diversity of experience is such a strong emphasis in current gender scholarship, these studies generally use theplural “masculinities” rather than the singular “masculinity.” They emphasize that all men construct their masculinity in relation not only towomen, but also in relation to other men, and that groups of men also vary widely in their ability to shape their own masculinity dependingon their position in racial, class, and other power structures. Men who were leaders in modern Ghana, for example, developed notions ofmasculinity shaped by local community standards, but also by the ideas of missionaries and colonial officials. The new scholarship onmasculinity is thus innovative in its recognition that men have and do gender, but traditional in its emphasis on difference. Although it is theexact counterpart to masculinity, “femininity” has not caught on as a term of scholarly study, perhaps because it is still seen as morerestrictive and less open to variation than masculinity. There are a few signs that this is changing, however, with scholarly conferences andpublications organized around “masculinities and femininities.”</w:t>
      </w:r>
    </w:p>
    <w:p w14:paraId="5C578129" w14:textId="77777777" w:rsidR="00114586" w:rsidRPr="00114586" w:rsidRDefault="00114586" w:rsidP="00114586">
      <w:pPr>
        <w:shd w:val="clear" w:color="auto" w:fill="FFFFFF"/>
        <w:spacing w:after="240" w:line="240" w:lineRule="auto"/>
        <w:ind w:firstLine="240"/>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Though studies of ideas about men have only recently been labeled as such – rather than as studies of a gender-neutral “man” or simply as“intellectual history” or “philosophy” – the fact that the male experience has been normative has also skewed the way that women have beenviewed. This ca</w:t>
      </w:r>
      <w:r w:rsidRPr="00114586">
        <w:rPr>
          <w:rFonts w:ascii="Cambria" w:eastAsia="Times New Roman" w:hAnsi="Cambria" w:cs="Times New Roman"/>
          <w:color w:val="000000"/>
          <w:sz w:val="24"/>
          <w:szCs w:val="24"/>
        </w:rPr>
        <w:lastRenderedPageBreak/>
        <w:t>n be seen most dramatically in scientific and medical works, particularly those in the Western tradition that originated withancient Greek thinkers and passed to Christian Europe and the Islamic world. Greek philosophers and scientists differed among themselves asto the reasons for gender differences and the role of each sex in conception and reproduction, differences that continued over the manycenturies in which their ideas were viewed as authoritative. Aristotle and his followers generally held that women produce no semen oranything comparable, and so contribute nothing to the form, intellect, or spirit of a fetus; their menstrual blood simply produces the matterout of which the fetus is formed. Galen and his followers believed that women also produce semen that contributes to the form of the fetus,though they thought this was colder and less active than that of the male and that the father was still the more important parent. All agreedthat men were superior, and that heat was the most powerful force in the body and a source of gender difference; women’s lack of heat wasseen as the reason they menstruated (men “burned up” unneeded blood internally) and did not go bald (men “burned up” their hair from theinside). Aristotelians tended to view human anatomy and physiology on a single scale, describing women as imperfect or misbegotten males,whose lack of body heat had kept their sex organs inside rather than pushing them out as they were in the more perfect male. The historianThomas Laqueur has labeled this the “one-sex model” and noted that as late as the anatomies of Andreas Vesalius in the sixteenth century,female sex organs were depicted as the male turned inside out. In this view, females were born when something was less than perfect duringconception and pregnancy, but could occasionally become male later in life through strenuous exercise or unusual heat; males never becamefemale, however, for nature, according to Aristotle, always strives for perfection. Because both women and men were located along the samecontinuum, certain women could be more “manly” than some men, and exhibit the qualities that were expected of men such as authority orself-control. Similar ideas developed in India, though with a more religious cast. In later Vedic literature, the idea developed that all fetusesare male until malignant spirits turn some of them into females. Male-producing ceremonies were introduced (which are sometimes stillperformed), held during the third month of pregnancy.</w:t>
      </w:r>
    </w:p>
    <w:p w14:paraId="2402F057" w14:textId="77777777" w:rsidR="00114586" w:rsidRPr="00114586" w:rsidRDefault="00114586" w:rsidP="00114586">
      <w:pPr>
        <w:shd w:val="clear" w:color="auto" w:fill="FFFFFF"/>
        <w:spacing w:after="240" w:line="240" w:lineRule="auto"/>
        <w:ind w:firstLine="240"/>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For Galenists in Europe and the Islamic world, the idea that both men and women produce seed became part of what historians havelabeled the “twosex” model, which held that men and women were equally perfect in their sex, distinct and complementary. In some parts ofthe world, such as several indigenous North American groups, a stress on the complementarity of the sexes led to fairly egalitarian economicand social arrangements. Similarly, at some points in pre-Columbian Mayan history, ideas about gender complementarity appear to have ledto power and privileges being inherited bilaterally. As this Galenic model became more common in Europe after 1600, however, it led insteadto the idea that gender differences pervaded every aspect of human experience, biological, intellectual and moral. This occurred at the sametime that physicians and scientists began exploring the reasons for differences among humans, and, not surprisingly, shaped the results oftheir experiments and measurements. Male brains were discovered to be larger than female, male bones to be stronger. When it was pointedout that female brains were actually larger in proportion to body size, female brains w</w:t>
      </w:r>
      <w:r w:rsidRPr="00114586">
        <w:rPr>
          <w:rFonts w:ascii="Cambria" w:eastAsia="Times New Roman" w:hAnsi="Cambria" w:cs="Times New Roman"/>
          <w:color w:val="000000"/>
          <w:sz w:val="24"/>
          <w:szCs w:val="24"/>
        </w:rPr>
        <w:lastRenderedPageBreak/>
        <w:t>ere determined to be more child-like, for children’sbrains are proportionately larger still. In the nineteenth century, new fields of knowledge such as psychology and anthropology often gaveprofessionals and officials new languages to describe and discuss gender distinctions. They located gender differences much more clearly inthe body than had earlier thinkers, for whom the differences between men and women derived primarily from their social role or place in adivinely created order.</w:t>
      </w:r>
    </w:p>
    <w:p w14:paraId="1FCB0968" w14:textId="77777777" w:rsidR="00114586" w:rsidRPr="00114586" w:rsidRDefault="00114586" w:rsidP="00114586">
      <w:pPr>
        <w:shd w:val="clear" w:color="auto" w:fill="FFFFFF"/>
        <w:spacing w:after="0" w:line="240" w:lineRule="auto"/>
        <w:ind w:firstLine="240"/>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Ideas about gender differences based in the body were interwoven with those about racial differences as European countries developedcolonial empires: white women were viewed as most likely to incorporate female qualities viewed as positive, such as piety and purity, whilenonwhite (especially black) women were seen as incorporating negative female traits, such as disobedience and sensuality. White men, in thisview, were more rational because of their sex </w:t>
      </w:r>
      <w:r w:rsidRPr="00114586">
        <w:rPr>
          <w:rFonts w:ascii="inherit" w:eastAsia="Times New Roman" w:hAnsi="inherit" w:cs="Times New Roman"/>
          <w:i/>
          <w:iCs/>
          <w:color w:val="000000"/>
          <w:sz w:val="24"/>
          <w:szCs w:val="24"/>
          <w:bdr w:val="none" w:sz="0" w:space="0" w:color="auto" w:frame="1"/>
        </w:rPr>
        <w:t>and</w:t>
      </w:r>
      <w:r w:rsidRPr="00114586">
        <w:rPr>
          <w:rFonts w:ascii="Cambria" w:eastAsia="Times New Roman" w:hAnsi="Cambria" w:cs="Times New Roman"/>
          <w:color w:val="000000"/>
          <w:sz w:val="24"/>
          <w:szCs w:val="24"/>
        </w:rPr>
        <w:t> their race, while nonwhite men were more likely to demonstrate negative or ambiguousmale qualities such as anger or physical prowess. The relations between gender and racial – and also class – hierarchies were worrisome,however. It was clear to most Europeans who stood at the top of the hierarchy – white men – and who at the bottom nonwhite women – butthe middle was more ambiguous. Were hierarchies of race easier to overcome than those based on gender, i.e., was it easier for a woman to be“manly” or for a nonwhite man? If social class could outweigh gender as a determinant of social role for a woman like Queen Elizabeth, couldgender outweigh race for a man like Shakespeare’s Othello?</w:t>
      </w:r>
    </w:p>
    <w:p w14:paraId="4B349F6A" w14:textId="77777777" w:rsidR="00114586" w:rsidRPr="00114586" w:rsidRDefault="00114586" w:rsidP="00114586">
      <w:pPr>
        <w:shd w:val="clear" w:color="auto" w:fill="FFFFFF"/>
        <w:spacing w:after="240" w:line="240" w:lineRule="auto"/>
        <w:ind w:firstLine="240"/>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To address such questions, by the eighteenth century medical and scientific measurements were applied to ethnic and racial differences aswell as those of gender, and it was “proven” that various groups had smaller brains or other markers of inferiority. Émile Durkheim, oftenreferred to as the “father of sociology,” linked racial and gender measurements by noting that “although the average cranium of Parisian menranks among the greatest known crania, the average of Parisian women ranks among the smallest observed, even below the crania of theChinese, and hardly above those of the women of New Caledonia.” Such dichotomous crania were, in Durkheim’s view, a sign of Frenchsuperiority, for they marked the greatest gender distinctions. Debates about gender, race, and class differences continued well into thetwentieth century, with arguments for both inequality and equality couched in scientific language and the body used as evidence.</w:t>
      </w:r>
    </w:p>
    <w:p w14:paraId="3CD48E09" w14:textId="77777777" w:rsidR="00114586" w:rsidRPr="00114586" w:rsidRDefault="00114586" w:rsidP="00114586">
      <w:pPr>
        <w:shd w:val="clear" w:color="auto" w:fill="FFFFFF"/>
        <w:spacing w:after="0" w:line="240" w:lineRule="auto"/>
        <w:ind w:firstLine="240"/>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Science was used in many eras to make discussions of the nature of men and women appear objective and irrefutable, but it is clear thatbasic ideas about gender were influenced by political factors. For example, elite masculinity became more closely linked to war in Japanduring the Tokugawa period (1603–1867) because of the civil wars that immediately preceded this era; those civil wars made a “code of thewarrior” the ideal for upper-class men, in which dying for one’s leader was highly praised. These links to politics may shape something asbasic as the words one uses. In China, for example, the words used for female persons in the twentieth century had (and have) politicalimplications and purposes. The most common word in imperial China was </w:t>
      </w:r>
      <w:r w:rsidRPr="00114586">
        <w:rPr>
          <w:rFonts w:ascii="inherit" w:eastAsia="Times New Roman" w:hAnsi="inherit" w:cs="Times New Roman"/>
          <w:i/>
          <w:iCs/>
          <w:color w:val="000000"/>
          <w:sz w:val="24"/>
          <w:szCs w:val="24"/>
          <w:bdr w:val="none" w:sz="0" w:space="0" w:color="auto" w:frame="1"/>
        </w:rPr>
        <w:t>funü</w:t>
      </w:r>
      <w:r w:rsidRPr="00114586">
        <w:rPr>
          <w:rFonts w:ascii="Cambria" w:eastAsia="Times New Roman" w:hAnsi="Cambria" w:cs="Times New Roman"/>
          <w:color w:val="000000"/>
          <w:sz w:val="24"/>
          <w:szCs w:val="24"/>
        </w:rPr>
        <w:t>, which originally implied “female family member” and linkedwomen with their kin groups. In the 1920s, Chinese middle-class intellectuals adopted the word </w:t>
      </w:r>
      <w:r w:rsidRPr="00114586">
        <w:rPr>
          <w:rFonts w:ascii="inherit" w:eastAsia="Times New Roman" w:hAnsi="inherit" w:cs="Times New Roman"/>
          <w:i/>
          <w:iCs/>
          <w:color w:val="000000"/>
          <w:sz w:val="24"/>
          <w:szCs w:val="24"/>
          <w:bdr w:val="none" w:sz="0" w:space="0" w:color="auto" w:frame="1"/>
        </w:rPr>
        <w:t>nuxing</w:t>
      </w:r>
      <w:r w:rsidRPr="00114586">
        <w:rPr>
          <w:rFonts w:ascii="Cambria" w:eastAsia="Times New Roman" w:hAnsi="Cambria" w:cs="Times New Roman"/>
          <w:color w:val="000000"/>
          <w:sz w:val="24"/>
          <w:szCs w:val="24"/>
        </w:rPr>
        <w:t> to signify a more “modern” type ofwoman, more sexualized and commercial and less linked to her family. In their rejection of middle-</w:t>
      </w:r>
      <w:r w:rsidRPr="00114586">
        <w:rPr>
          <w:rFonts w:ascii="Cambria" w:eastAsia="Times New Roman" w:hAnsi="Cambria" w:cs="Times New Roman"/>
          <w:color w:val="000000"/>
          <w:sz w:val="24"/>
          <w:szCs w:val="24"/>
        </w:rPr>
        <w:lastRenderedPageBreak/>
        <w:t>class values, the Communists went back to </w:t>
      </w:r>
      <w:r w:rsidRPr="00114586">
        <w:rPr>
          <w:rFonts w:ascii="inherit" w:eastAsia="Times New Roman" w:hAnsi="inherit" w:cs="Times New Roman"/>
          <w:i/>
          <w:iCs/>
          <w:color w:val="000000"/>
          <w:sz w:val="24"/>
          <w:szCs w:val="24"/>
          <w:bdr w:val="none" w:sz="0" w:space="0" w:color="auto" w:frame="1"/>
        </w:rPr>
        <w:t>funü</w:t>
      </w:r>
      <w:r w:rsidRPr="00114586">
        <w:rPr>
          <w:rFonts w:ascii="Cambria" w:eastAsia="Times New Roman" w:hAnsi="Cambria" w:cs="Times New Roman"/>
          <w:color w:val="000000"/>
          <w:sz w:val="24"/>
          <w:szCs w:val="24"/>
        </w:rPr>
        <w:t>, but reinterpreted it to link women with the state rather than the family. In the post-Mao period, some writers have gone back to </w:t>
      </w:r>
      <w:r w:rsidRPr="00114586">
        <w:rPr>
          <w:rFonts w:ascii="inherit" w:eastAsia="Times New Roman" w:hAnsi="inherit" w:cs="Times New Roman"/>
          <w:i/>
          <w:iCs/>
          <w:color w:val="000000"/>
          <w:sz w:val="24"/>
          <w:szCs w:val="24"/>
          <w:bdr w:val="none" w:sz="0" w:space="0" w:color="auto" w:frame="1"/>
        </w:rPr>
        <w:t>nuxing</w:t>
      </w:r>
      <w:r w:rsidRPr="00114586">
        <w:rPr>
          <w:rFonts w:ascii="Cambria" w:eastAsia="Times New Roman" w:hAnsi="Cambria" w:cs="Times New Roman"/>
          <w:color w:val="000000"/>
          <w:sz w:val="24"/>
          <w:szCs w:val="24"/>
        </w:rPr>
        <w:t>to downplay the association between women and the state, and others have adopted </w:t>
      </w:r>
      <w:r w:rsidRPr="00114586">
        <w:rPr>
          <w:rFonts w:ascii="inherit" w:eastAsia="Times New Roman" w:hAnsi="inherit" w:cs="Times New Roman"/>
          <w:i/>
          <w:iCs/>
          <w:color w:val="000000"/>
          <w:sz w:val="24"/>
          <w:szCs w:val="24"/>
          <w:bdr w:val="none" w:sz="0" w:space="0" w:color="auto" w:frame="1"/>
        </w:rPr>
        <w:t>nuren</w:t>
      </w:r>
      <w:r w:rsidRPr="00114586">
        <w:rPr>
          <w:rFonts w:ascii="Cambria" w:eastAsia="Times New Roman" w:hAnsi="Cambria" w:cs="Times New Roman"/>
          <w:color w:val="000000"/>
          <w:sz w:val="24"/>
          <w:szCs w:val="24"/>
        </w:rPr>
        <w:t>, a word influenced by social science terminologywhich downplays the link with both family and state. There is thus no word for female person in Chinese that does not have some politicaland social implications.</w:t>
      </w:r>
    </w:p>
    <w:p w14:paraId="4159B1A8" w14:textId="77777777" w:rsidR="00114586" w:rsidRPr="00114586" w:rsidRDefault="00114586" w:rsidP="00114586">
      <w:pPr>
        <w:shd w:val="clear" w:color="auto" w:fill="FFFFFF"/>
        <w:spacing w:after="240" w:line="240" w:lineRule="auto"/>
        <w:ind w:firstLine="240"/>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Many scholars have noted similar situations, though perhaps less dramatic, in other cultures and languages, noting that when people usethe word “woman” or “women” categorically in descriptions and generalizations (“women are...”) they are only rarely really thinking about allwomen. They often cite the words ascribed to the African-American exslave and abolitionist Sojourner Truth (ca. 1797–1883), who isreported to have responded at a women’s rights convention to the notion that women were too weak to vote by pointing out the hard physicallabor she had carried out throughout her life and asking “Ar’n’t I a woman?” The historian Nell Irvin Painter has demonstrated that thoughTruth did make many speeches and published pamphlets in favor of women’s rights and abolition, this phrase was added in a later account ofher speech by the woman chairing the convention. The phrase is so effective at highlighting ways in which the category and even the word“woman” are socially constructed and linked to power relationships, however, that it is hard to stop using it.</w:t>
      </w:r>
    </w:p>
    <w:p w14:paraId="29015153" w14:textId="77777777" w:rsidR="00114586" w:rsidRPr="00114586" w:rsidRDefault="00114586" w:rsidP="00114586">
      <w:pPr>
        <w:shd w:val="clear" w:color="auto" w:fill="FFFFFF"/>
        <w:spacing w:after="240" w:line="240" w:lineRule="auto"/>
        <w:ind w:firstLine="240"/>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“Man” and even “person” are similarly variable, particularly when used in formal legal documents. Jurists in sixteenth-century Europedebated whether the laws regarding homicide applied equally to men and women, leading one to remark “a woman, categorically speaking, isnot a human being.” Laws extending voting rights to broader groups of men in the nineteenth century began to add the word “male” for thefirst time because women had attempted to interpret the existing word “person” to include women and to vote as long as they had therequired amount of property.</w:t>
      </w:r>
    </w:p>
    <w:p w14:paraId="3299A815" w14:textId="77777777" w:rsidR="00114586" w:rsidRPr="00114586" w:rsidRDefault="00114586" w:rsidP="00114586">
      <w:pPr>
        <w:numPr>
          <w:ilvl w:val="0"/>
          <w:numId w:val="3"/>
        </w:numPr>
        <w:spacing w:after="0" w:line="270" w:lineRule="atLeast"/>
        <w:ind w:left="0"/>
        <w:rPr>
          <w:rFonts w:ascii="inherit" w:eastAsia="Times New Roman" w:hAnsi="inherit" w:cs="Times New Roman"/>
          <w:color w:val="808080"/>
          <w:sz w:val="20"/>
          <w:szCs w:val="20"/>
        </w:rPr>
      </w:pPr>
      <w:hyperlink r:id="rId13" w:history="1">
        <w:r w:rsidRPr="00114586">
          <w:rPr>
            <w:rFonts w:ascii="inherit" w:eastAsia="Times New Roman" w:hAnsi="inherit" w:cs="Times New Roman"/>
            <w:color w:val="0069D6"/>
            <w:sz w:val="20"/>
            <w:szCs w:val="20"/>
            <w:u w:val="single"/>
            <w:bdr w:val="none" w:sz="0" w:space="0" w:color="auto" w:frame="1"/>
          </w:rPr>
          <w:t>Notebook</w:t>
        </w:r>
      </w:hyperlink>
    </w:p>
    <w:p w14:paraId="221491C7" w14:textId="77777777" w:rsidR="00114586" w:rsidRPr="00114586" w:rsidRDefault="00114586" w:rsidP="00114586">
      <w:pPr>
        <w:pStyle w:val="ListParagraph"/>
        <w:numPr>
          <w:ilvl w:val="0"/>
          <w:numId w:val="3"/>
        </w:numPr>
        <w:shd w:val="clear" w:color="auto" w:fill="FFFFFF"/>
        <w:spacing w:before="30" w:after="288" w:line="240" w:lineRule="auto"/>
        <w:jc w:val="center"/>
        <w:rPr>
          <w:rFonts w:ascii="Cambria" w:eastAsia="Times New Roman" w:hAnsi="Cambria" w:cs="Times New Roman"/>
          <w:b/>
          <w:bCs/>
          <w:color w:val="000000"/>
          <w:sz w:val="36"/>
          <w:szCs w:val="36"/>
        </w:rPr>
      </w:pPr>
      <w:r w:rsidRPr="00114586">
        <w:rPr>
          <w:rFonts w:ascii="Cambria" w:eastAsia="Times New Roman" w:hAnsi="Cambria" w:cs="Times New Roman"/>
          <w:b/>
          <w:bCs/>
          <w:color w:val="000000"/>
          <w:sz w:val="36"/>
          <w:szCs w:val="36"/>
        </w:rPr>
        <w:t>4.2 Binaries</w:t>
      </w:r>
    </w:p>
    <w:p w14:paraId="0A293386" w14:textId="77777777" w:rsidR="00114586" w:rsidRPr="00114586" w:rsidRDefault="00114586" w:rsidP="00114586">
      <w:pPr>
        <w:pStyle w:val="ListParagraph"/>
        <w:numPr>
          <w:ilvl w:val="0"/>
          <w:numId w:val="3"/>
        </w:numPr>
        <w:shd w:val="clear" w:color="auto" w:fill="FFFFFF"/>
        <w:spacing w:after="24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Though we can recognize the historical and social nature of the categories “woman” and “man,” and increasingly view gender as a continuum,for most of the world’s cultures woman/man is a fundamental binary and, as noted briefly in chapter 1, is often linked with otherdichotomous conceptualizations. Some linguistic and sociological theorists argue, in fact, that gender opposition is the root of the verycommon tendency to divide things into binary oppositions, viewing this almost as “natural” because it is found in so many cultures. In somecases, these conceptualizations are complementary, with “male” and “female” categories regarded as equally important; in others, thecategories are clearly hierarchical, with “male” categories always valued more highly than “female.” In others, the categories may vary in theirasymmetry, with certain “male” categories viewed as more important than “female” and certain categories as equal. Cultures vary in thesharpness of their dichotomies, with the categories sometimes sharply divided and sometimes interpenetrable. Some scholars see Westernbinaries as more dichotomous than those in non-</w:t>
      </w:r>
      <w:r w:rsidRPr="00114586">
        <w:rPr>
          <w:rFonts w:ascii="Cambria" w:eastAsia="Times New Roman" w:hAnsi="Cambria" w:cs="Times New Roman"/>
          <w:color w:val="000000"/>
          <w:sz w:val="24"/>
          <w:szCs w:val="24"/>
        </w:rPr>
        <w:lastRenderedPageBreak/>
        <w:t>Western cultures, though anthropologists point out that sharp social binaries based on kingroup – which they term moieties – were also widely present in indigenous South America and Oceania. Cultures also vary in the degree towhich differences are enforced; in some areas male/female distinctions are quite loose, while in others men or women risk severepunishment or death simply by being present in a space assigned to the other sex. People, especially women, may vary in their associationwith certain categories throughout the life-cycle: postmenopausal women sometimes come to be associated with conceptual categories andwork or ritual activities usually viewed as “male,” and very old people with qualities usually regarded as “female,” such as dependence.</w:t>
      </w:r>
    </w:p>
    <w:p w14:paraId="69AA3FF1" w14:textId="77777777" w:rsidR="00114586" w:rsidRPr="00114586" w:rsidRDefault="00114586" w:rsidP="00114586">
      <w:pPr>
        <w:pStyle w:val="ListParagraph"/>
        <w:numPr>
          <w:ilvl w:val="0"/>
          <w:numId w:val="3"/>
        </w:numPr>
        <w:shd w:val="clear" w:color="auto" w:fill="FFFFFF"/>
        <w:spacing w:after="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One of the dichotomies frequently associated with gender is that of the household and the world beyond the household. This is described indifferent ways in different places: in China as a split between inner and outer (</w:t>
      </w:r>
      <w:r w:rsidRPr="00114586">
        <w:rPr>
          <w:rFonts w:ascii="inherit" w:eastAsia="Times New Roman" w:hAnsi="inherit" w:cs="Times New Roman"/>
          <w:i/>
          <w:iCs/>
          <w:color w:val="000000"/>
          <w:sz w:val="24"/>
          <w:szCs w:val="24"/>
          <w:bdr w:val="none" w:sz="0" w:space="0" w:color="auto" w:frame="1"/>
        </w:rPr>
        <w:t>nei-wai</w:t>
      </w:r>
      <w:r w:rsidRPr="00114586">
        <w:rPr>
          <w:rFonts w:ascii="Cambria" w:eastAsia="Times New Roman" w:hAnsi="Cambria" w:cs="Times New Roman"/>
          <w:color w:val="000000"/>
          <w:sz w:val="24"/>
          <w:szCs w:val="24"/>
        </w:rPr>
        <w:t>), in ancient Greece as a split between public anddomestic, among the Bun people of Papua New Guinea as a split between internal and external. This division is most often described as onebetween public and private, and much of the earliest work in women’s history explored the ways in which men in many cultures have beenassociated with the public world of work, politics, and culture and women the private world of home and family. These studies traced thediffering degrees of separation between public and private, generally viewing points when the household and the political realm were lessseparated, such as the early Middle Ages in Europe or colonial North America, as times of greater gender egalitarianism, and those when theywere more separated, such as Song China or the nineteenthcentury US, as points of greater hierarchy.</w:t>
      </w:r>
    </w:p>
    <w:p w14:paraId="4363FD75" w14:textId="77777777" w:rsidR="00114586" w:rsidRPr="00114586" w:rsidRDefault="00114586" w:rsidP="00114586">
      <w:pPr>
        <w:pStyle w:val="ListParagraph"/>
        <w:numPr>
          <w:ilvl w:val="0"/>
          <w:numId w:val="3"/>
        </w:numPr>
        <w:shd w:val="clear" w:color="auto" w:fill="FFFFFF"/>
        <w:spacing w:after="24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Feminist political theory and activism often argued that the public and the private were never really separate (an idea captured in theslogan “the personal is political”), and historians have more recently explored the various ways these arenas have been linked. They have alsopointed out that though men are usually associated with the public realm, with a common ideal for men being one of active participation in allaspects of public life, in some instances this was not the case. In classical India and in Judaism for much of its history, the ideal for men wasone of renunciation of worldly things for a life that concentrated on study and piety. In Judaism, this ideal often meant that women were quiteactive in the “public” realm of work and trade to support the family, though this was not the case in classical India, where the work to supportscholarly men was carried out by lower-caste men rather than the scholar’s wife and daughters.</w:t>
      </w:r>
    </w:p>
    <w:p w14:paraId="6DFF4379" w14:textId="77777777" w:rsidR="00114586" w:rsidRPr="00114586" w:rsidRDefault="00114586" w:rsidP="00114586">
      <w:pPr>
        <w:pStyle w:val="ListParagraph"/>
        <w:numPr>
          <w:ilvl w:val="0"/>
          <w:numId w:val="3"/>
        </w:numPr>
        <w:shd w:val="clear" w:color="auto" w:fill="FFFFFF"/>
        <w:spacing w:after="24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Another oppositional pair is that of nature/culture. In a very influential essay, the anthropologist Sherry Ortner asked “Is female to male asnature is to culture?” She gathered together examples from many geographic areas of ways in which women’s physiology, social role, andpsyche are viewed as closer to nature than men’s, and in which women are viewed as intermediaries between nature and culture, responsiblefor transforming natural products into food and clothing for their household, and for the early stages of transforming “uncivilized” childreninto members of society. The links between women and nature have also been explored by historians of science, who point out that nature isoften described as female, and that exploring nature or carrying out scientific research is often described in terms of masculine sexualconquest </w:t>
      </w:r>
      <w:r w:rsidRPr="00114586">
        <w:rPr>
          <w:rFonts w:ascii="Cambria" w:eastAsia="Times New Roman" w:hAnsi="Cambria" w:cs="Times New Roman"/>
          <w:color w:val="000000"/>
          <w:sz w:val="24"/>
          <w:szCs w:val="24"/>
        </w:rPr>
        <w:lastRenderedPageBreak/>
        <w:t>or domination. Illustrations of nude women, sometimes explicitly labeled “Nature revealing her secrets,” often appeared in theworks of major European scientists, such as Isaac Newton.</w:t>
      </w:r>
    </w:p>
    <w:p w14:paraId="74CC6E38" w14:textId="77777777" w:rsidR="00114586" w:rsidRPr="00114586" w:rsidRDefault="00114586" w:rsidP="00114586">
      <w:pPr>
        <w:pStyle w:val="ListParagraph"/>
        <w:numPr>
          <w:ilvl w:val="0"/>
          <w:numId w:val="3"/>
        </w:numPr>
        <w:shd w:val="clear" w:color="auto" w:fill="FFFFFF"/>
        <w:spacing w:after="24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As with the dichotomy between public and private, counterexamples to the woman/nature versus man/culture linkage exist, such as themythical American West, where “cultured” women tamed “natural” men when they brought in schools and churches, or Nazi Germany, wherewomen were praised as the bearers of culture and morality. There are also nature/culture divisions that are not especially gendered, such asthe sharp contrast in many west African societies between a cultivated area associated with humans – in which all human activities, includingsex and burial, had to take place – and the noncultivated bush. Ortner herself has modified her conceptualization somewhat, though she stillasserts that the opposition between human agency (culture) and processes that proceed in the world apart from that agency (nature) is acentral question for all societies, and in most of them gender provides a “powerful language” for talking about this opposition.</w:t>
      </w:r>
    </w:p>
    <w:p w14:paraId="61AD3E85" w14:textId="77777777" w:rsidR="00114586" w:rsidRPr="00114586" w:rsidRDefault="00114586" w:rsidP="00114586">
      <w:pPr>
        <w:pStyle w:val="ListParagraph"/>
        <w:numPr>
          <w:ilvl w:val="0"/>
          <w:numId w:val="3"/>
        </w:numPr>
        <w:shd w:val="clear" w:color="auto" w:fill="FFFFFF"/>
        <w:spacing w:after="24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The nature/culture dichotomy is often related to one of order/disorder, though the way these correspond may be different, with naturesometimes representing order and sometimes disorder. This linkage is itself gendered: when nature is conceptualized as orderly, as inConfucian understandings of the cosmic order, it is usually linked to male superiority; when it is regarded as disorderly and capricious, it islinked to women. The order/disorder dichotomy is sometimes expressed in psychic terms, as an opposition between the rational and theemotional or passionate, with men generally representing the rational and women the emotional. As noted above, this gender dichotomy wasoften qualified by class and racial hierarchies which limited the capacity for reason to one type of man, however, with certain types of men,like women, seen as closer to nature and less rational.</w:t>
      </w:r>
    </w:p>
    <w:p w14:paraId="4E446EF9" w14:textId="77777777" w:rsidR="00114586" w:rsidRPr="00114586" w:rsidRDefault="00114586" w:rsidP="00114586">
      <w:pPr>
        <w:pStyle w:val="ListParagraph"/>
        <w:numPr>
          <w:ilvl w:val="0"/>
          <w:numId w:val="3"/>
        </w:numPr>
        <w:shd w:val="clear" w:color="auto" w:fill="FFFFFF"/>
        <w:spacing w:after="24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Along with binaries that split men and women, there were also binary categorizations within each sex that shaped ideas about gender andthe norms and laws that resulted from them. One of these was that of purity and impurity. Women in many cultures were regarded as impureor polluting during their menstrual periods and during or after childbirth, and many taboos or actual laws limited women’s activities orcontacts with others during these times. Women were sometimes secluded or sent to special places during menstruation and childbirth, andthen went through rituals that reincorporated them back into the community once this period was over. Menstrual and childbirth taboos havegenerally been regarded as representing a negative view of women, judging them as unclean or dangerously powerful simply as the result ofnatural bodily processes. This may have been the opinion of educated or prominent men, but both historians and anthropologists havediscovered that women often developed their own meanings for such rituals. They regarded menstrual huts as special women’s communities,and demanded rituals of purification after childbirth (often termed “churching” in Christian areas), sometimes despite men’s efforts to endsuch rituals. Contemporary women have, in fact, devised new rituals to celebrate certain bodily events such as menarche (first menstruation)and menopause, arguing that in earlier societies these were important and positive markers of life changes.</w:t>
      </w:r>
    </w:p>
    <w:p w14:paraId="32622D8F" w14:textId="77777777" w:rsidR="00114586" w:rsidRPr="00114586" w:rsidRDefault="00114586" w:rsidP="00114586">
      <w:pPr>
        <w:pStyle w:val="ListParagraph"/>
        <w:numPr>
          <w:ilvl w:val="0"/>
          <w:numId w:val="3"/>
        </w:numPr>
        <w:shd w:val="clear" w:color="auto" w:fill="FFFFFF"/>
        <w:spacing w:after="24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Men also went through periods of purity and impurity in many cultures which shaped their abilities to undertake certain activities,particularly religious ones. Very often </w:t>
      </w:r>
      <w:r w:rsidRPr="00114586">
        <w:rPr>
          <w:rFonts w:ascii="Cambria" w:eastAsia="Times New Roman" w:hAnsi="Cambria" w:cs="Times New Roman"/>
          <w:color w:val="000000"/>
          <w:sz w:val="24"/>
          <w:szCs w:val="24"/>
        </w:rPr>
        <w:lastRenderedPageBreak/>
        <w:t>this was related to a discharge of bodily fluids or sexual activity, but in some religious traditions anycontact with women also made male religious personnel impure.</w:t>
      </w:r>
    </w:p>
    <w:p w14:paraId="7B7A9E63" w14:textId="77777777" w:rsidR="00114586" w:rsidRPr="00114586" w:rsidRDefault="00114586" w:rsidP="00114586">
      <w:pPr>
        <w:pStyle w:val="ListParagraph"/>
        <w:numPr>
          <w:ilvl w:val="0"/>
          <w:numId w:val="3"/>
        </w:numPr>
        <w:shd w:val="clear" w:color="auto" w:fill="FFFFFF"/>
        <w:spacing w:after="24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Purity and impurity are closely related to one of the most studied cultural dichotomies, that of honor and dishonor or honor and shame.Honor is a highly gendered quality, with male honor generally associated with action of some type, while female honor is associated withinaction. Men gained honor by protecting their families, demonstrating physical prowess, exercising authority, and showing courage, whilewomen simply maintained honor by preserving their sexual purity. Women were thus divided into two categories on the basis of sexualhonor, sometimes labeled “the virgin” and “the whore,” while men’s honor was more variable. Honor was very often shared among themembers of one’s family or clan group, so that the actions of any member reflected on the others. Loss of honor in some societies resulted inlegal punishments, as did charging someone with being dishonorable if those charges proved to be untrue. Even more often, however, honorwas affirmed or disputed through popular rituals – waving bloody sheets the morning after a wedding (which still continues in some areas)or throwing rotten food at husbands suspected of being cuckolds. Historians studying honor have emphasized that, as with all norms, careneeds to be taken not to confuse ideals with reality. Even cultures that seem to be obsessed with female sexual honor sometimes offered waysfor women to quietly regain their honor after it was lost; in early modern Spain, for example, women pregnant out of wedlock frequently suedthe father of the child for damages, which then became a dowry and allowed them to marry.</w:t>
      </w:r>
    </w:p>
    <w:p w14:paraId="2A1B3B32" w14:textId="77777777" w:rsidR="00114586" w:rsidRPr="00114586" w:rsidRDefault="00114586" w:rsidP="00114586">
      <w:pPr>
        <w:pStyle w:val="ListParagraph"/>
        <w:numPr>
          <w:ilvl w:val="0"/>
          <w:numId w:val="3"/>
        </w:numPr>
        <w:shd w:val="clear" w:color="auto" w:fill="FFFFFF"/>
        <w:spacing w:after="24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Along with purity and honor, physical attractiveness is another dichotomous category that has been intimately shaped by, and in turnshapes, ideas and norms of gender. What characteristics make a woman or man attractive are, of course, highly variable both among culturesand among subgroups within a culture; some people would argue that beauty is so subjective that it is truly “in the eye of the beholder” andcannot be discussed at a more general level. This argument appears to be countered by the remarkable lengths to which people have gonethroughout history to make themselves appear more desirable to themselves and others, or to conform to hegemonic standards of beauty.Cosmetics were common in many of the world’s earliest societies, and products that were thought to increase beauty or sexual appeal weretraded across vast distances because they could bring a high profit. Cosmetics have been enhanced more recently by cosmetic surgery, withboth of these in the modern world more often associated with women than with men, though this is changing. Particularly for women, purity,honor, and beauty have been linked in various ways; the directors of women’s protective shelters in early modern Italy, for example, explicitlylimited the women they took in to those who were attractive, for, in their minds, ugly women did not need to fear a loss of honor and so didnot merit protection.</w:t>
      </w:r>
    </w:p>
    <w:p w14:paraId="6DEEBBE4" w14:textId="77777777" w:rsidR="00114586" w:rsidRPr="00114586" w:rsidRDefault="00114586" w:rsidP="00114586">
      <w:pPr>
        <w:pStyle w:val="ListParagraph"/>
        <w:numPr>
          <w:ilvl w:val="0"/>
          <w:numId w:val="3"/>
        </w:numPr>
        <w:shd w:val="clear" w:color="auto" w:fill="FFFFFF"/>
        <w:spacing w:before="30" w:after="288" w:line="240" w:lineRule="auto"/>
        <w:jc w:val="center"/>
        <w:rPr>
          <w:rFonts w:ascii="Cambria" w:eastAsia="Times New Roman" w:hAnsi="Cambria" w:cs="Times New Roman"/>
          <w:b/>
          <w:bCs/>
          <w:color w:val="000000"/>
          <w:sz w:val="36"/>
          <w:szCs w:val="36"/>
        </w:rPr>
      </w:pPr>
      <w:r w:rsidRPr="00114586">
        <w:rPr>
          <w:rFonts w:ascii="Cambria" w:eastAsia="Times New Roman" w:hAnsi="Cambria" w:cs="Times New Roman"/>
          <w:b/>
          <w:bCs/>
          <w:color w:val="000000"/>
          <w:sz w:val="36"/>
          <w:szCs w:val="36"/>
        </w:rPr>
        <w:t>4.3 Motherhood and Fatherhood</w:t>
      </w:r>
    </w:p>
    <w:p w14:paraId="7AAB17EE" w14:textId="77777777" w:rsidR="00114586" w:rsidRPr="00114586" w:rsidRDefault="00114586" w:rsidP="00114586">
      <w:pPr>
        <w:pStyle w:val="ListParagraph"/>
        <w:numPr>
          <w:ilvl w:val="0"/>
          <w:numId w:val="3"/>
        </w:numPr>
        <w:shd w:val="clear" w:color="auto" w:fill="FFFFFF"/>
        <w:spacing w:after="24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Just as it is easier to find information about women as a conceptual and legal category than about men, it is easier to find information aboutmothers and motherhood than about fathers. Many psychological theorists view one’s relation with one’s mother as the central factor in earlypsychological development, with some arguing that this is not culturally specific but innate. (Psychology has been criticized as a field, ofcour</w:t>
      </w:r>
      <w:r w:rsidRPr="00114586">
        <w:rPr>
          <w:rFonts w:ascii="Cambria" w:eastAsia="Times New Roman" w:hAnsi="Cambria" w:cs="Times New Roman"/>
          <w:color w:val="000000"/>
          <w:sz w:val="24"/>
          <w:szCs w:val="24"/>
        </w:rPr>
        <w:lastRenderedPageBreak/>
        <w:t>se, for just this type of assertion.) Whether one accepts this view or not, the fact that women can become mothers has certainly shapedmany of the laws and norms regulating women’s activities and behavior; what is usually referred to as the “sexual double standard” couldmore accurately be labeled the “parenthood double standard.” (A phrase that might also be used to describe the realities of parenting in manyhouseholds.)</w:t>
      </w:r>
    </w:p>
    <w:p w14:paraId="10C1FA47" w14:textId="77777777" w:rsidR="00114586" w:rsidRPr="00114586" w:rsidRDefault="00114586" w:rsidP="00114586">
      <w:pPr>
        <w:pStyle w:val="ListParagraph"/>
        <w:numPr>
          <w:ilvl w:val="0"/>
          <w:numId w:val="3"/>
        </w:numPr>
        <w:shd w:val="clear" w:color="auto" w:fill="FFFFFF"/>
        <w:spacing w:after="24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Though the possibility of motherhood has led to restrictions on women, motherhood has also been a source of great power, a muchstronger and more positive role for a woman than being a wife. Many of the world’s religious traditions, including Hinduism, Confucianism,and Islam, view strong relations between mothers and sons as ideal, and interviews with contemporary people in societies as disparate asJamaica, the Solomon Islands, and Japan have found that mothers are viewed as central to people’s lives while fathers are perceived asindifferent or distant. The power associated with the role of mothers has also been disturbing, however. Legal sources often refer to “wife ofso-and-so” rather than “mother of so-and-so” even in cases involving a woman’s relations with her own children, thus emphasizing a clearlydependent relationship rather than the one in which the woman has power over others. Stories and myths from many areas revolve aroundbad mothers, though because criticizing mothers directly is often viewed as unacceptable, the evil character is generally a stepmother ormother-in-law. Sometimes these myths affect the way real women are treated; in the witch trials of early modern Europe, for example,witches were often portrayed as bad mothers, killing or injuring children instead of nurturing them.</w:t>
      </w:r>
    </w:p>
    <w:p w14:paraId="7CAB3029" w14:textId="77777777" w:rsidR="00114586" w:rsidRPr="00114586" w:rsidRDefault="00114586" w:rsidP="00114586">
      <w:pPr>
        <w:pStyle w:val="ListParagraph"/>
        <w:numPr>
          <w:ilvl w:val="0"/>
          <w:numId w:val="3"/>
        </w:numPr>
        <w:shd w:val="clear" w:color="auto" w:fill="FFFFFF"/>
        <w:spacing w:after="24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Nazi Germany and other European fascist regimes in the twentieth century provide excellent examples of the ambiguities of motherhood,and also of the ways in which motherhood has been used and manipulated symbolically. Nazi Germany itself was extolled as the “fatherland,”and Nazi leaders used hypermasculine imagery; their pronatalist movements were directed at fathers, not mothers, so as not to appear togrant women authority. “Motherhood” was celebrated in the abstract and medals awarded to women of the approved racial groups who hadmany children, but the power of husbands over their wives was also strengthened through various legal changes. Authoritarian regimes inItaly and Spain also passed pronatalist measures such as maternity or paternity bonuses and issued extensive propaganda seeking to makemotherhood women’s only calling. The actual impact of these measures on birth rates and women’s employment rates was limited, however,and the regimes themselves toned them down by the 1940s when they needed women’s labor to carry out the war effort.</w:t>
      </w:r>
    </w:p>
    <w:p w14:paraId="4E6381D7" w14:textId="77777777" w:rsidR="00114586" w:rsidRPr="00114586" w:rsidRDefault="00114586" w:rsidP="00114586">
      <w:pPr>
        <w:pStyle w:val="ListParagraph"/>
        <w:numPr>
          <w:ilvl w:val="0"/>
          <w:numId w:val="3"/>
        </w:numPr>
        <w:shd w:val="clear" w:color="auto" w:fill="FFFFFF"/>
        <w:spacing w:after="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Similar disjunctures between the rhetoric and reality of motherhood can be found in many other places. Nineteenth-century Britain is oftenviewed as a high point of emphasis on maternity and domesticity for women; on closer investigation this turns out to have been an ideallimited only to middle-class women. In a country with two million nannies, few upper-class women actually mothered (or were expected tomother) their own children, and few lower- or working-class women had the leisure to spend much time on child care. In colonial and morerecent Latin America, women were encouraged to follow an ideal of seclusion, modes</w:t>
      </w:r>
      <w:r w:rsidRPr="00114586">
        <w:rPr>
          <w:rFonts w:ascii="Cambria" w:eastAsia="Times New Roman" w:hAnsi="Cambria" w:cs="Times New Roman"/>
          <w:color w:val="000000"/>
          <w:sz w:val="24"/>
          <w:szCs w:val="24"/>
        </w:rPr>
        <w:lastRenderedPageBreak/>
        <w:t>ty, and devotion to their families termed </w:t>
      </w:r>
      <w:r w:rsidRPr="00114586">
        <w:rPr>
          <w:rFonts w:ascii="inherit" w:eastAsia="Times New Roman" w:hAnsi="inherit" w:cs="Times New Roman"/>
          <w:i/>
          <w:iCs/>
          <w:color w:val="000000"/>
          <w:sz w:val="24"/>
          <w:szCs w:val="24"/>
          <w:bdr w:val="none" w:sz="0" w:space="0" w:color="auto" w:frame="1"/>
        </w:rPr>
        <w:t>marianismo</w:t>
      </w:r>
      <w:r w:rsidRPr="00114586">
        <w:rPr>
          <w:rFonts w:ascii="Cambria" w:eastAsia="Times New Roman" w:hAnsi="Cambria" w:cs="Times New Roman"/>
          <w:color w:val="000000"/>
          <w:sz w:val="24"/>
          <w:szCs w:val="24"/>
        </w:rPr>
        <w:t>after the Virgin Mary, the mother of Jesus, but poverty made this impossible for most women. Official propaganda in the Stalinist Soviet Unionexalted motherhood as a patriotic duty and used motherhood as a metaphor for nationhood, but women were also expected to have full-timejobs and earlier institutions that had made their mothering easier such as communal kitchens were no longer supported by the state.</w:t>
      </w:r>
    </w:p>
    <w:p w14:paraId="5A78F324" w14:textId="77777777" w:rsidR="00114586" w:rsidRPr="00114586" w:rsidRDefault="00114586" w:rsidP="00114586">
      <w:pPr>
        <w:pStyle w:val="ListParagraph"/>
        <w:numPr>
          <w:ilvl w:val="0"/>
          <w:numId w:val="3"/>
        </w:numPr>
        <w:shd w:val="clear" w:color="auto" w:fill="FFFFFF"/>
        <w:spacing w:after="24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The rhetoric of motherhood itself has also been used in very different ways. Most often it has been used to urge women to stay out of theworkplace and concentrate on family concerns, to become, as conservative Japanese authors recommended, “good wives, wise mothers.”Nineteenthcentury reformers often used motherhood to argue for an expansion of women’s public role, however, stressing that educationwould make women better mothers. They asserted that having the vote would allow mothers to assure the well-being of their families andchildren, and to clean up corrupt politics in the same way that they cleaned up their households. Since the 1960s women in Latin Americahave protested the abduction and murder of their sons and husbands by various military dictatorships through public protests; the mostfamous of these, the Mothers of the Plaza de Mayo in Argentina, gathered weekly, wearing white headscarves embroidered with the names ofthe “disappeared” and painting their silhouettes on walls.</w:t>
      </w:r>
    </w:p>
    <w:p w14:paraId="6D148457" w14:textId="77777777" w:rsidR="00114586" w:rsidRPr="00114586" w:rsidRDefault="00114586" w:rsidP="00114586">
      <w:pPr>
        <w:pStyle w:val="ListParagraph"/>
        <w:numPr>
          <w:ilvl w:val="0"/>
          <w:numId w:val="3"/>
        </w:numPr>
        <w:shd w:val="clear" w:color="auto" w:fill="FFFFFF"/>
        <w:spacing w:after="24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Fatherhood has also been linked to politics and the exercise of power in both real and metaphorical terms. The words for “father” and“leader” are etymologically related in many languages, and the male originators of institutions and structures were often labeled “fathers” –the Church Fathers, the Founding Fathers. Hereditary monarchs such as kings, emperors, and czars were praised as the fathers of their peopleand used paternal language in their attempts to build or maintain their own power. They employed ideologies of kinship to mask their controlover others, and hoped such language would encourage respect and obedience. Paternal rhetoric was also used, however, to criticize leadersfor not living up to what was expected of a good father and could, in fact, become part of the language of revolution. Criticism of the Frenchkings in the period leading up to the French Revolution often described them as bad fathers, not caring properly for their people; in the caseof Louis XVI, the last king, he was also seen as too influenced by his queen Marie Antoinette, the archetypal bad mother whose lack of concernfor her subjects was expressed in her (probably invented) comment to hungry people clamoring for bread – “let them eat cake.”</w:t>
      </w:r>
    </w:p>
    <w:p w14:paraId="4725FCC2" w14:textId="77777777" w:rsidR="00114586" w:rsidRPr="00114586" w:rsidRDefault="00114586" w:rsidP="00114586">
      <w:pPr>
        <w:pStyle w:val="ListParagraph"/>
        <w:numPr>
          <w:ilvl w:val="0"/>
          <w:numId w:val="3"/>
        </w:numPr>
        <w:shd w:val="clear" w:color="auto" w:fill="FFFFFF"/>
        <w:spacing w:after="24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In most conceptualizations of the stages of life for a man, fatherhood did not mark a clear break the way motherhood did for a woman, butin many societies it did bring real differences. In some Muslim areas, a man gained (and continues to gain) a new name once his first son wasborn – usually beginning with “abu” meaning protector of or father of – and no longer uses his original first name. In some parts of the world,a husband restricted his ordinary activities while his wife was pregnant or giving birth, or even mimicked her pregnancy with special clothingor rituals, practices labeled “couvade.” Certain positions of authority in groups and institutions in many cultures were limited to men whowere fathers, for this was a sign both of their potency and their stake in the future. Fatherhood played a particularly strong role in areaswhere society was conceptualized as an amalgam of families or households rather than as i</w:t>
      </w:r>
      <w:r w:rsidRPr="00114586">
        <w:rPr>
          <w:rFonts w:ascii="Cambria" w:eastAsia="Times New Roman" w:hAnsi="Cambria" w:cs="Times New Roman"/>
          <w:color w:val="000000"/>
          <w:sz w:val="24"/>
          <w:szCs w:val="24"/>
        </w:rPr>
        <w:lastRenderedPageBreak/>
        <w:t>ndividuals, for the adult male head of householdwas both in charge of the smallest political unit and the representative of that unit to the wider world.</w:t>
      </w:r>
    </w:p>
    <w:p w14:paraId="6C10FC56" w14:textId="77777777" w:rsidR="00114586" w:rsidRPr="00114586" w:rsidRDefault="00114586" w:rsidP="00114586">
      <w:pPr>
        <w:pStyle w:val="ListParagraph"/>
        <w:numPr>
          <w:ilvl w:val="0"/>
          <w:numId w:val="3"/>
        </w:numPr>
        <w:shd w:val="clear" w:color="auto" w:fill="FFFFFF"/>
        <w:spacing w:before="30" w:after="288" w:line="240" w:lineRule="auto"/>
        <w:jc w:val="center"/>
        <w:rPr>
          <w:rFonts w:ascii="Cambria" w:eastAsia="Times New Roman" w:hAnsi="Cambria" w:cs="Times New Roman"/>
          <w:b/>
          <w:bCs/>
          <w:color w:val="000000"/>
          <w:sz w:val="36"/>
          <w:szCs w:val="36"/>
        </w:rPr>
      </w:pPr>
      <w:r w:rsidRPr="00114586">
        <w:rPr>
          <w:rFonts w:ascii="Cambria" w:eastAsia="Times New Roman" w:hAnsi="Cambria" w:cs="Times New Roman"/>
          <w:b/>
          <w:bCs/>
          <w:color w:val="000000"/>
          <w:sz w:val="36"/>
          <w:szCs w:val="36"/>
        </w:rPr>
        <w:t>4.4 Ideologies, Norms, and Laws Prescribing Gender Inequity</w:t>
      </w:r>
    </w:p>
    <w:p w14:paraId="62AD645A" w14:textId="77777777" w:rsidR="00114586" w:rsidRPr="00114586" w:rsidRDefault="00114586" w:rsidP="00114586">
      <w:pPr>
        <w:pStyle w:val="ListParagraph"/>
        <w:numPr>
          <w:ilvl w:val="0"/>
          <w:numId w:val="3"/>
        </w:numPr>
        <w:shd w:val="clear" w:color="auto" w:fill="FFFFFF"/>
        <w:spacing w:after="24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As noted in chapter 1, and as you have seen or will see in every other chapter in this book, the historical record provides countless examplesof calls for male dominance and female dependence or other types of gender inequity. Religious literature urged women to be subservient,and described the divine plan as one of gender inequality. Medical and philosophical works noted that women were physically, mentally, andmorally weaker than men, clearly in need of male guidance and protection. Popular rituals and norms transmitted orally from generation togeneration established sharp gender boundaries, generally limiting the ability of women to move or act and criticizing or punishing thosewho did. The gender inequity in most written norms and laws has been so striking, in fact, that much early women’s history involved pointingout ways in which women transcended, subverted, or ignored such restrictions, and attempting to convince readers that the situation forwomen was not as dreadful as the laws made it seem.</w:t>
      </w:r>
    </w:p>
    <w:p w14:paraId="30EFCD4D" w14:textId="77777777" w:rsidR="00114586" w:rsidRPr="00114586" w:rsidRDefault="00114586" w:rsidP="00114586">
      <w:pPr>
        <w:pStyle w:val="ListParagraph"/>
        <w:numPr>
          <w:ilvl w:val="0"/>
          <w:numId w:val="3"/>
        </w:numPr>
        <w:shd w:val="clear" w:color="auto" w:fill="FFFFFF"/>
        <w:spacing w:after="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Many of the customs and norms now perceived as the most extreme involved a restriction of women’s mobility. Of these, the Chinesepractice of footbinding has received the most attention, a practice that began in the period about 1000 among entertainers at the imperialcourt and was firmly entrenched among the elite and middle classes in northern China by about 1200. In order to bind a girl’s feet, her toesare forced down and under her heel until the bones in the arch eventually break; this generally began when she was about six, though awoman’s feet needed to remain bound all her life to maintain their desirable small size and pointed “golden lotus” shape. Explanations offootbinding have involved a wide range of factors: fantasies among male poets and literati that eroticized small feet and a swaying walk andlinked these with nostalgia for the past; a change in the ideal of masculinity in Song China from warrior to scholar, which meant that the idealwoman had to be even </w:t>
      </w:r>
      <w:r w:rsidRPr="00114586">
        <w:rPr>
          <w:rFonts w:ascii="inherit" w:eastAsia="Times New Roman" w:hAnsi="inherit" w:cs="Times New Roman"/>
          <w:i/>
          <w:iCs/>
          <w:color w:val="000000"/>
          <w:sz w:val="24"/>
          <w:szCs w:val="24"/>
          <w:bdr w:val="none" w:sz="0" w:space="0" w:color="auto" w:frame="1"/>
        </w:rPr>
        <w:t>more</w:t>
      </w:r>
      <w:r w:rsidRPr="00114586">
        <w:rPr>
          <w:rFonts w:ascii="Cambria" w:eastAsia="Times New Roman" w:hAnsi="Cambria" w:cs="Times New Roman"/>
          <w:color w:val="000000"/>
          <w:sz w:val="24"/>
          <w:szCs w:val="24"/>
        </w:rPr>
        <w:t> sedentary and refined; a desire to hide the actual importance of women’s labor by families eager to prove theywere rising socially and economically; Chinese sexual ideas that linked bound feet with improved reproductive capacity and stronger infants.Dorothy Ko has recently emphasized that no one explanation suffices, and that the reasons for footbinding changed over its thousand yearhistory and were different for men and women. She notes that women were not simply its victims; they internalized Confucian notions of theimportance of self-sacrifice and discipline, and the connections between bound feet, reputation, domesticity, beauty, and self-respect. Thus itwas mothers who generally bound their daughters’ feet in what became a female rite of passage, and women worked together to make theexquisite embroidered shoes that further represented their high status. Because of its centrality to core social values, footbinding wastenacious in northern China; some families were still binding their daughters’ feet in the 1930s, despite efforts by government officials,missionaries, and eventually the Communist leadership under Mao Zedong to end the practice. Footbinding was not accepted by other EastAsian societies, although the</w:t>
      </w:r>
      <w:r w:rsidRPr="00114586">
        <w:rPr>
          <w:rFonts w:ascii="Cambria" w:eastAsia="Times New Roman" w:hAnsi="Cambria" w:cs="Times New Roman"/>
          <w:color w:val="000000"/>
          <w:sz w:val="24"/>
          <w:szCs w:val="24"/>
        </w:rPr>
        <w:lastRenderedPageBreak/>
        <w:t> importation of Confucian ideas from China later restricted women’s capacities to perform ceremonies ofancestor worship and to inherit family land in Korea and Vietnam.</w:t>
      </w:r>
    </w:p>
    <w:p w14:paraId="7AA3DF6E" w14:textId="77777777" w:rsidR="00114586" w:rsidRPr="00114586" w:rsidRDefault="00114586" w:rsidP="00114586">
      <w:pPr>
        <w:pStyle w:val="ListParagraph"/>
        <w:numPr>
          <w:ilvl w:val="0"/>
          <w:numId w:val="3"/>
        </w:numPr>
        <w:shd w:val="clear" w:color="auto" w:fill="FFFFFF"/>
        <w:spacing w:after="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Footbinding tied women physically to the household and thus kept them out of public view, as did other practices found in a great manycultures around the world. In many areas, women have been secluded by law or custom, either in particular parts of the house – the </w:t>
      </w:r>
      <w:r w:rsidRPr="00114586">
        <w:rPr>
          <w:rFonts w:ascii="inherit" w:eastAsia="Times New Roman" w:hAnsi="inherit" w:cs="Times New Roman"/>
          <w:i/>
          <w:iCs/>
          <w:color w:val="000000"/>
          <w:sz w:val="24"/>
          <w:szCs w:val="24"/>
          <w:bdr w:val="none" w:sz="0" w:space="0" w:color="auto" w:frame="1"/>
        </w:rPr>
        <w:t>gyneceum</w:t>
      </w:r>
      <w:r w:rsidRPr="00114586">
        <w:rPr>
          <w:rFonts w:ascii="Cambria" w:eastAsia="Times New Roman" w:hAnsi="Cambria" w:cs="Times New Roman"/>
          <w:color w:val="000000"/>
          <w:sz w:val="24"/>
          <w:szCs w:val="24"/>
        </w:rPr>
        <w:t>in ancient Athens or the </w:t>
      </w:r>
      <w:r w:rsidRPr="00114586">
        <w:rPr>
          <w:rFonts w:ascii="inherit" w:eastAsia="Times New Roman" w:hAnsi="inherit" w:cs="Times New Roman"/>
          <w:i/>
          <w:iCs/>
          <w:color w:val="000000"/>
          <w:sz w:val="24"/>
          <w:szCs w:val="24"/>
          <w:bdr w:val="none" w:sz="0" w:space="0" w:color="auto" w:frame="1"/>
        </w:rPr>
        <w:t>harim</w:t>
      </w:r>
      <w:r w:rsidRPr="00114586">
        <w:rPr>
          <w:rFonts w:ascii="Cambria" w:eastAsia="Times New Roman" w:hAnsi="Cambria" w:cs="Times New Roman"/>
          <w:color w:val="000000"/>
          <w:sz w:val="24"/>
          <w:szCs w:val="24"/>
        </w:rPr>
        <w:t> in the Ottoman Empire – or by veiling. The first records of veiling come from the ancient Near East in about3000 bce, where the links between this practice and household seclusion were already recognized, for the ancient Akkadian word for veilingis the same as that for shutting a door. However it was accomplished, secluding women generally involved or at least began with the elites inany society, for the vast majority of cultures could not afford to lose the labor power of half of their workers; slave and peasant women weregenerally not secluded, and their activities made the enclosure of elite women possible. Sometimes seclusion was more clearly an issue ofstatus than gender. In the Ottoman Empire, for example, elite males rarely left their households, conducting their business through agents andobtaining their education through tutors; as the pinnacle of Ottoman society, the sultan never left his palace, but required all those who hadbusiness with him to meet him there. (This is another example of the complex interplay between “public” and “private.”)</w:t>
      </w:r>
    </w:p>
    <w:p w14:paraId="7BBF84B4" w14:textId="77777777" w:rsidR="00114586" w:rsidRPr="00114586" w:rsidRDefault="00114586" w:rsidP="00114586">
      <w:pPr>
        <w:pStyle w:val="ListParagraph"/>
        <w:numPr>
          <w:ilvl w:val="0"/>
          <w:numId w:val="3"/>
        </w:numPr>
        <w:shd w:val="clear" w:color="auto" w:fill="FFFFFF"/>
        <w:spacing w:after="24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Other than very elite men in some cultures, however, and one or two groups around the world such as the Tuareg of northern Africa inwhich men were veiled, attempts to restrict visual and physical contact between men and women have led to the seclusion of women. As wewill see in chapters 5 and 6, women in some areas have developed their own interpretation and understanding of the meaning of veiling,viewing it as empowerment rather than restriction and a means of asserting cultural or national identity. This is good example of the way inwhich practices originally based on one idea about the nature of men and women can be reinterpreted when the social or political contextchanges, or be understood differently by various individuals or groups.</w:t>
      </w:r>
    </w:p>
    <w:p w14:paraId="7D52F66E" w14:textId="77777777" w:rsidR="00114586" w:rsidRPr="00114586" w:rsidRDefault="00114586" w:rsidP="00114586">
      <w:pPr>
        <w:pStyle w:val="ListParagraph"/>
        <w:numPr>
          <w:ilvl w:val="0"/>
          <w:numId w:val="3"/>
        </w:numPr>
        <w:shd w:val="clear" w:color="auto" w:fill="FFFFFF"/>
        <w:spacing w:after="24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Many cultures that did not practice seclusion or veiling developed norms of conduct for women that were demonstrations of theirdependent status. Women in some parts of India were expected to adopt a deferential posture when speaking with men, and in Japan wereexpected to drop their eyes when in public to avoid making eye contact with men. Restrictive norms have often been justified with referenceto “tradition,” but may, in fact, have been recent innovations. In India, for example, the British government expanded upper-caste Brahmaniccustoms into Hindu law, which put greater limitations on the mobility and independence of lower-caste married women than they hadexperienced earlier. The 1898 Civil Code in Japan limited women’s civil rights sharply, denying them existence as legal persons and requiringinheritance to pass through the male line, a break with earlier customs. Women in Japan today generally use a form of deferential and softerspeech commonly called “women’s language” claimed to be an ancient tradition but which may actually have been invented during the earlytwentieth century, the period in which this Civil Code was enacted.</w:t>
      </w:r>
    </w:p>
    <w:p w14:paraId="72C4E2B4" w14:textId="77777777" w:rsidR="00114586" w:rsidRPr="00114586" w:rsidRDefault="00114586" w:rsidP="00114586">
      <w:pPr>
        <w:pStyle w:val="ListParagraph"/>
        <w:numPr>
          <w:ilvl w:val="0"/>
          <w:numId w:val="3"/>
        </w:numPr>
        <w:shd w:val="clear" w:color="auto" w:fill="FFFFFF"/>
        <w:spacing w:after="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lastRenderedPageBreak/>
        <w:t>Women’s lack of legal status as persons was actually a common feature in many of the world’s written law codes, which have sometimesregarded women as a form of property. In most cultures until the nineteenth or twentieth century (or until today), marriage explicitlyestablished a relationship of husbandly authority and wifely obedience. This relationship was often enshrined or symbolized in weddingceremonies in which the wife vowed to obey her husband, or put a body part such as a hand, foot, or head, under the husband’s foot or withinhis hands. In European and North American law, the relationship of marriage was described as </w:t>
      </w:r>
      <w:r w:rsidRPr="00114586">
        <w:rPr>
          <w:rFonts w:ascii="inherit" w:eastAsia="Times New Roman" w:hAnsi="inherit" w:cs="Times New Roman"/>
          <w:i/>
          <w:iCs/>
          <w:color w:val="000000"/>
          <w:sz w:val="24"/>
          <w:szCs w:val="24"/>
          <w:bdr w:val="none" w:sz="0" w:space="0" w:color="auto" w:frame="1"/>
        </w:rPr>
        <w:t>coverture</w:t>
      </w:r>
      <w:r w:rsidRPr="00114586">
        <w:rPr>
          <w:rFonts w:ascii="Cambria" w:eastAsia="Times New Roman" w:hAnsi="Cambria" w:cs="Times New Roman"/>
          <w:color w:val="000000"/>
          <w:sz w:val="24"/>
          <w:szCs w:val="24"/>
        </w:rPr>
        <w:t>, a permanent relationship in whichthe husband’s authority was absolute and the wife was not a legal person. This relationship began to be modified in many countries in thenineteenth century with laws that, for example, allowed married women to have control over their own wages, but as late as 1981 in France,men were still the official “heads of family” and it was illegal for a married woman to sell any of her own property without her husband’spermission.</w:t>
      </w:r>
    </w:p>
    <w:p w14:paraId="2500DDF5" w14:textId="77777777" w:rsidR="00114586" w:rsidRPr="00114586" w:rsidRDefault="00114586" w:rsidP="00114586">
      <w:pPr>
        <w:pStyle w:val="ListParagraph"/>
        <w:numPr>
          <w:ilvl w:val="0"/>
          <w:numId w:val="3"/>
        </w:numPr>
        <w:shd w:val="clear" w:color="auto" w:fill="FFFFFF"/>
        <w:spacing w:before="30" w:after="288" w:line="240" w:lineRule="auto"/>
        <w:jc w:val="center"/>
        <w:rPr>
          <w:rFonts w:ascii="Cambria" w:eastAsia="Times New Roman" w:hAnsi="Cambria" w:cs="Times New Roman"/>
          <w:b/>
          <w:bCs/>
          <w:color w:val="000000"/>
          <w:sz w:val="36"/>
          <w:szCs w:val="36"/>
        </w:rPr>
      </w:pPr>
      <w:r w:rsidRPr="00114586">
        <w:rPr>
          <w:rFonts w:ascii="Cambria" w:eastAsia="Times New Roman" w:hAnsi="Cambria" w:cs="Times New Roman"/>
          <w:b/>
          <w:bCs/>
          <w:color w:val="000000"/>
          <w:sz w:val="36"/>
          <w:szCs w:val="36"/>
        </w:rPr>
        <w:t>4.5 Ideologies of Egalitarianism</w:t>
      </w:r>
    </w:p>
    <w:p w14:paraId="2D4FD32D" w14:textId="77777777" w:rsidR="00114586" w:rsidRPr="00114586" w:rsidRDefault="00114586" w:rsidP="00114586">
      <w:pPr>
        <w:pStyle w:val="ListParagraph"/>
        <w:numPr>
          <w:ilvl w:val="0"/>
          <w:numId w:val="3"/>
        </w:numPr>
        <w:shd w:val="clear" w:color="auto" w:fill="FFFFFF"/>
        <w:spacing w:after="24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Norms and laws that restricted women’s activities or placed them in a position subservient to men were numbingly common throughout theworld, which can make studying women’s or gender history often seem quite depressing. Along with individuals and groups that ignored orovercame these restrictions through their actions, however, there have also been many that developed ideas supporting greater genderegalitarianism or otherwise enhancing the situation of women; since the mid-nineteenth century, these ideas have slowly been translated intolegal changes. Such ideas have generally been labeled “feminism,” a word developed first in French in the 1890s, though there are greatdisagreements about the limits, meaning, and implications of this word.</w:t>
      </w:r>
    </w:p>
    <w:p w14:paraId="6A6530A6" w14:textId="77777777" w:rsidR="00114586" w:rsidRPr="00114586" w:rsidRDefault="00114586" w:rsidP="00114586">
      <w:pPr>
        <w:pStyle w:val="ListParagraph"/>
        <w:numPr>
          <w:ilvl w:val="0"/>
          <w:numId w:val="3"/>
        </w:numPr>
        <w:shd w:val="clear" w:color="auto" w:fill="FFFFFF"/>
        <w:spacing w:after="24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Individuals and groups have questioned or rejected gender hierarchy for centuries, and much early research within women’s historyinvolved finding and celebrating “feminist foremothers.” The works of women such as Christine de Pizan, a fifteenth-century French authorwho challenged misogyny and extolled the achievements of women, were reissued and translated, and the writings of other feminists – most,though not all of them women were discovered and analyzed. These investigations generally focused first on white European or Americanwomen whose ideas led to the nineteenthcentury women’s rights movements often termed the “first wave” of feminism (which will bediscussed more fully in chapter 6), and they often stressed commonalities among feminists across time and cultures. This research was anintegral part of the “second-wave” women’s movement that began during the late 1960s, in which raising the consciousness of women aboutgender inequities frequently involved a study of the past.</w:t>
      </w:r>
    </w:p>
    <w:p w14:paraId="47083F33" w14:textId="77777777" w:rsidR="00114586" w:rsidRPr="00114586" w:rsidRDefault="00114586" w:rsidP="00114586">
      <w:pPr>
        <w:pStyle w:val="ListParagraph"/>
        <w:numPr>
          <w:ilvl w:val="0"/>
          <w:numId w:val="3"/>
        </w:numPr>
        <w:shd w:val="clear" w:color="auto" w:fill="FFFFFF"/>
        <w:spacing w:after="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Though early researchers argued that “sisterhood is global,” by the early 1980s both the feminist movement and historians of women werecriticized for concentrating too much on the experiences of white Western women and not recognizing racial and ethnic diversity or thepower of colonialism in shaping women’s lives. This led some advocates of women’s rights to develop other words to describe themselves,such as “womanist,” while others noted that feminism should always be used in the plural to</w:t>
      </w:r>
      <w:r w:rsidRPr="00114586">
        <w:rPr>
          <w:rFonts w:ascii="Cambria" w:eastAsia="Times New Roman" w:hAnsi="Cambria" w:cs="Times New Roman"/>
          <w:color w:val="000000"/>
          <w:sz w:val="24"/>
          <w:szCs w:val="24"/>
        </w:rPr>
        <w:lastRenderedPageBreak/>
        <w:t> emphasize its diversity. That diversity, theynoted, was even present within white European feminism; English (and American) feminists emphasized equality of individual rights, whilecontinental Europeans emphasized the equally important responsibilities of women and men. In both the past and the present, feminists haveoften been involved with other movements advocating social change, such as socialism, anticolonialism, or the civil rights movement, andhave developed very diverse ideas about the intersection among their various aims. The variety within both historical and contemporaryfeminism makes it a difficult word to define to everyone’s satisfaction, with the ideas of some types of feminists regarded by others as notespecially positive for women. Some ecofeminists, for example, view women as more caring and environmentally conscious because theyhave the possibility of motherhood, while others see such ideas as dangerously close to the old notion that “biology is destiny,” which hasoften been harmful to women. Some “third wave” feminists of the 1990s and 2000s have reclaimed derogatory words for women as part oftheir emphasis on women’s power to shape their own lives and the culture around them. The editors of </w:t>
      </w:r>
      <w:r w:rsidRPr="00114586">
        <w:rPr>
          <w:rFonts w:ascii="inherit" w:eastAsia="Times New Roman" w:hAnsi="inherit" w:cs="Times New Roman"/>
          <w:i/>
          <w:iCs/>
          <w:color w:val="000000"/>
          <w:sz w:val="24"/>
          <w:szCs w:val="24"/>
          <w:bdr w:val="none" w:sz="0" w:space="0" w:color="auto" w:frame="1"/>
        </w:rPr>
        <w:t>Bitch</w:t>
      </w:r>
      <w:r w:rsidRPr="00114586">
        <w:rPr>
          <w:rFonts w:ascii="Cambria" w:eastAsia="Times New Roman" w:hAnsi="Cambria" w:cs="Times New Roman"/>
          <w:color w:val="000000"/>
          <w:sz w:val="24"/>
          <w:szCs w:val="24"/>
        </w:rPr>
        <w:t> magazine, for example, providefeminist analysis of pop culture, and riot grrrl punk bands and Girlzines support women’s music, art, and sexual expression. Other feministswonder whether “bitch” and “girl” are not best left unreclaimed. The diversity within feminism has allowed its opponents to highlight theideas and activities of more flamboyant groups, such as those women who allegedly burned their bras at a Miss America competition, in theircriticisms. (This story was, in fact, invented by a reporter, but it has had a very long life.) Such characterizations have led some who opposegender inequity to reject the label feminist while still advocating women’s rights, a position expressed in the phrase “I’m not a feminist, but...”</w:t>
      </w:r>
    </w:p>
    <w:p w14:paraId="226D5AC6" w14:textId="77777777" w:rsidR="00114586" w:rsidRPr="00114586" w:rsidRDefault="00114586" w:rsidP="00114586">
      <w:pPr>
        <w:pStyle w:val="ListParagraph"/>
        <w:numPr>
          <w:ilvl w:val="0"/>
          <w:numId w:val="3"/>
        </w:numPr>
        <w:shd w:val="clear" w:color="auto" w:fill="FFFFFF"/>
        <w:spacing w:after="24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However they have chosen to label their ideas, over the last century and a half many people have worked to transform ideals of greatergender equity into laws; these have allowed women to keep their wages and own property, vote and hold office, obtain divorce on an equalbasis with men, and receive equal pay for equal work. Such laws sometimes resulted from social change or changes in widely held attitudes,but they more often anticipated widespread social change and were the result of changes in ideas among elites. Laws were passed againstveiling in Turkey in the 1920s and Iran and Uzbekistan in the 1930s, for example, because the leadership of these countries came to viewunveiled women as a symbol of modernity, not because of popular pressure. Sometimes laws were passed as a result of conquest orcolonialism. The British in India, for example, passed various measures designed to end practices they saw as backward, and the Sovietsforced through laws against veiling and polygamy when they took over Islamic areas in Central Asia.</w:t>
      </w:r>
    </w:p>
    <w:p w14:paraId="58403033" w14:textId="77777777" w:rsidR="00114586" w:rsidRPr="00114586" w:rsidRDefault="00114586" w:rsidP="00114586">
      <w:pPr>
        <w:pStyle w:val="ListParagraph"/>
        <w:numPr>
          <w:ilvl w:val="0"/>
          <w:numId w:val="3"/>
        </w:numPr>
        <w:shd w:val="clear" w:color="auto" w:fill="FFFFFF"/>
        <w:spacing w:after="24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When the impetus for legal change came from outside an area, laws were very difficult to enforce. The 1931 Civil Code in China, forexample, outlawed arranged marriages and concubinage, but it was not followed in rural areas for decades. Though such lack of compliancecomes in some instances from entrenched norms of gender hierarchy, in other places laws were (and are) ignored because women did notview them as beneficial. The 1956 Hindu Succession Act in India, for example, theoretically gave women equal rights to the inheritance of anyproperty their parents themselves had acquired. Its provisions have been scarcely followed, and women have not taken cases to court toassert their rights to property. This is not because they do not know ab</w:t>
      </w:r>
      <w:r w:rsidRPr="00114586">
        <w:rPr>
          <w:rFonts w:ascii="Cambria" w:eastAsia="Times New Roman" w:hAnsi="Cambria" w:cs="Times New Roman"/>
          <w:color w:val="000000"/>
          <w:sz w:val="24"/>
          <w:szCs w:val="24"/>
        </w:rPr>
        <w:lastRenderedPageBreak/>
        <w:t>out the law, are too passive, or are too guided by older notions ofpropriety, but because they seek to optimize their own economic and emotional needs and promote family stability and affections. When theydo seek their rights in the courts, the decisions follow the law, but are often expressed in terms of older customary provisions regarding theprotection of women and not the newer language of rights.</w:t>
      </w:r>
    </w:p>
    <w:p w14:paraId="3185FF4D" w14:textId="77777777" w:rsidR="00114586" w:rsidRPr="00114586" w:rsidRDefault="00114586" w:rsidP="00114586">
      <w:pPr>
        <w:pStyle w:val="ListParagraph"/>
        <w:numPr>
          <w:ilvl w:val="0"/>
          <w:numId w:val="3"/>
        </w:numPr>
        <w:shd w:val="clear" w:color="auto" w:fill="FFFFFF"/>
        <w:spacing w:after="24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Sometimes the introduction of new norms can have contradictory results. In post-Soviet Russia, increased interaction with the West has ledto greater awareness of egalitarian ideals and practices, but also greater sexism, especially in terms of pornography and the exploitation ofthe female body in advertising and popular culture that had been forbidden in restrictive and puritanical Soviet culture.</w:t>
      </w:r>
    </w:p>
    <w:p w14:paraId="7CA00097" w14:textId="77777777" w:rsidR="00114586" w:rsidRPr="00114586" w:rsidRDefault="00114586" w:rsidP="00114586">
      <w:pPr>
        <w:pStyle w:val="ListParagraph"/>
        <w:numPr>
          <w:ilvl w:val="0"/>
          <w:numId w:val="3"/>
        </w:numPr>
        <w:shd w:val="clear" w:color="auto" w:fill="FFFFFF"/>
        <w:spacing w:after="24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In many parts of the world, the emphasis on the individual in AngloAmerican feminism is seen as misguided or even destructive; advocatesfor women, such as the scholar Ifi Amadiume in Nigeria, point to high levels of poverty and isolation among Western women, especially afterdivorce. Activists for women’s causes in these areas express their goals in terms of the needs of women and men rather than their rights, andstress the benefits gained by the family and community when women are given greater opportunities. Because of these differences inemphasis, international measures promoting greater gender equality are always worded very carefully. The 1979 United Nations Conventionon the Elimination of All Forms of Discrimination against Women (CEDAW) did describe discrimination against women as a violation of “theprinciples of equality of rights and respect for human dignity,” but it was also careful to stress the effects of such discrimination on families,society, women’s countries, and all humanity, and not simply on the women as individuals. (As of 2009, CEDAW has been ratified by 186countries, with 8 countries remaining to ratify, including Iran, Somalia, and the United States; some of those that have ratified have exemptedcustomary, family, and religious law, however, which lessens its impact considerably.)</w:t>
      </w:r>
    </w:p>
    <w:p w14:paraId="214395F8" w14:textId="77777777" w:rsidR="00114586" w:rsidRPr="00114586" w:rsidRDefault="00114586" w:rsidP="00114586">
      <w:pPr>
        <w:pStyle w:val="ListParagraph"/>
        <w:numPr>
          <w:ilvl w:val="0"/>
          <w:numId w:val="3"/>
        </w:numPr>
        <w:shd w:val="clear" w:color="auto" w:fill="FFFFFF"/>
        <w:spacing w:after="24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As we enter the new millennium, ideas, norms, and laws regarding gender appear by some measures to be very resistant to change: amajority of people in India approve parent-controlled marriages; a majority of people in South America have negative views of women takingjobs outside the home; a majority of people (and judges) in North America and Europe regard mothers as “naturally” better parents thanfathers, and the list could go on and on. Laws that proclaim equality between men and women are supported in the abstract, but are often notenforced, and may even be counteracted by other laws – especially those regarding marriage, divorce, and inheritance – which have a muchgreater impact in terms of day-to-day opportunities than abstract statements. On some issues it is clearly easier to make laws than to changelongstanding attitudes and ideas about the proper roles and nature of women and men. The desirability of change in something as basic toone’s understanding of the world as gender is also not always clear; some studies of psychological and physical health indicate, for example,that people with firmer and more conservative notions of gender are healthier than those who are more open to change, for change bringsuncertainty, which can lead to stress. Thus in times of rapid change, people may hang on to more traditional notions of gender as an anchor ofstability.</w:t>
      </w:r>
    </w:p>
    <w:p w14:paraId="38DD2156" w14:textId="77777777" w:rsidR="00114586" w:rsidRPr="00114586" w:rsidRDefault="00114586" w:rsidP="00114586">
      <w:pPr>
        <w:pStyle w:val="ListParagraph"/>
        <w:numPr>
          <w:ilvl w:val="0"/>
          <w:numId w:val="3"/>
        </w:numPr>
        <w:shd w:val="clear" w:color="auto" w:fill="FFFFFF"/>
        <w:spacing w:after="24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lastRenderedPageBreak/>
        <w:t>If one takes a long view, however, even in areas where traditions are very strong, there are clear signs of change; though laws prohibitinggender discrimination are not always enforced, they are at least part of most constitutions and legal codes developed in the twentieth century,which would have been unthinkable (or regarded as laughable) several centuries earlier. In the industrialized world, though young womenhesitate to call themselves feminists, many of the demands of the feminist movement are now accepted as self-evident, at least in theory:equal pay for equal work, access to education, legal equality for women and men. Grass-roots women’s groups in many parts of the world areusing local and village courts to curtail domestic violence, and exploring religious and cultural traditions for teachings that support greateropportunities for women. They have made it clear that many sources of ideas and norms are ambiguous, and that what really matters is howprescriptive statements play out in the real world.</w:t>
      </w:r>
    </w:p>
    <w:p w14:paraId="288613D5" w14:textId="77777777" w:rsidR="00114586" w:rsidRPr="00114586" w:rsidRDefault="00114586" w:rsidP="00114586">
      <w:pPr>
        <w:pStyle w:val="ListParagraph"/>
        <w:numPr>
          <w:ilvl w:val="0"/>
          <w:numId w:val="3"/>
        </w:numPr>
        <w:shd w:val="clear" w:color="auto" w:fill="FFFFFF"/>
        <w:spacing w:before="30" w:after="288" w:line="240" w:lineRule="auto"/>
        <w:jc w:val="center"/>
        <w:rPr>
          <w:rFonts w:ascii="Cambria" w:eastAsia="Times New Roman" w:hAnsi="Cambria" w:cs="Times New Roman"/>
          <w:b/>
          <w:bCs/>
          <w:color w:val="000000"/>
          <w:sz w:val="36"/>
          <w:szCs w:val="36"/>
        </w:rPr>
      </w:pPr>
      <w:r w:rsidRPr="00114586">
        <w:rPr>
          <w:rFonts w:ascii="Cambria" w:eastAsia="Times New Roman" w:hAnsi="Cambria" w:cs="Times New Roman"/>
          <w:b/>
          <w:bCs/>
          <w:color w:val="000000"/>
          <w:sz w:val="36"/>
          <w:szCs w:val="36"/>
        </w:rPr>
        <w:t>4.6 Further Reading</w:t>
      </w:r>
    </w:p>
    <w:p w14:paraId="3AB397EA" w14:textId="77777777" w:rsidR="00114586" w:rsidRPr="00114586" w:rsidRDefault="00114586" w:rsidP="00114586">
      <w:pPr>
        <w:pStyle w:val="ListParagraph"/>
        <w:numPr>
          <w:ilvl w:val="0"/>
          <w:numId w:val="3"/>
        </w:numPr>
        <w:shd w:val="clear" w:color="auto" w:fill="FFFFFF"/>
        <w:spacing w:after="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It is hard to know where to begin with suggestions, for the amount of materials is vast. For general overviews of certain issues, see KatherineRogers, </w:t>
      </w:r>
      <w:r w:rsidRPr="00114586">
        <w:rPr>
          <w:rFonts w:ascii="inherit" w:eastAsia="Times New Roman" w:hAnsi="inherit" w:cs="Times New Roman"/>
          <w:i/>
          <w:iCs/>
          <w:color w:val="000000"/>
          <w:sz w:val="24"/>
          <w:szCs w:val="24"/>
          <w:bdr w:val="none" w:sz="0" w:space="0" w:color="auto" w:frame="1"/>
        </w:rPr>
        <w:t>The Troublesome Helpmate: A History of Misogyny in Literature</w:t>
      </w:r>
      <w:r w:rsidRPr="00114586">
        <w:rPr>
          <w:rFonts w:ascii="Cambria" w:eastAsia="Times New Roman" w:hAnsi="Cambria" w:cs="Times New Roman"/>
          <w:color w:val="000000"/>
          <w:sz w:val="24"/>
          <w:szCs w:val="24"/>
        </w:rPr>
        <w:t> (Seattle: University of Washington Press, 1966); Joan Landes, ed., </w:t>
      </w:r>
      <w:r w:rsidRPr="00114586">
        <w:rPr>
          <w:rFonts w:ascii="inherit" w:eastAsia="Times New Roman" w:hAnsi="inherit" w:cs="Times New Roman"/>
          <w:i/>
          <w:iCs/>
          <w:color w:val="000000"/>
          <w:sz w:val="24"/>
          <w:szCs w:val="24"/>
          <w:bdr w:val="none" w:sz="0" w:space="0" w:color="auto" w:frame="1"/>
        </w:rPr>
        <w:t>Feminism, the</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Public and the Private</w:t>
      </w:r>
      <w:r w:rsidRPr="00114586">
        <w:rPr>
          <w:rFonts w:ascii="Cambria" w:eastAsia="Times New Roman" w:hAnsi="Cambria" w:cs="Times New Roman"/>
          <w:color w:val="000000"/>
          <w:sz w:val="24"/>
          <w:szCs w:val="24"/>
        </w:rPr>
        <w:t> (Oxford: Oxford University Press, 1998). Interesting comments on recent changes in gender norms areprovided in Sylvia Chant and Cathy McIlwaine, </w:t>
      </w:r>
      <w:r w:rsidRPr="00114586">
        <w:rPr>
          <w:rFonts w:ascii="inherit" w:eastAsia="Times New Roman" w:hAnsi="inherit" w:cs="Times New Roman"/>
          <w:i/>
          <w:iCs/>
          <w:color w:val="000000"/>
          <w:sz w:val="24"/>
          <w:szCs w:val="24"/>
          <w:bdr w:val="none" w:sz="0" w:space="0" w:color="auto" w:frame="1"/>
        </w:rPr>
        <w:t>Three Generations, Two Genders, One World:</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Women and Men in a Changing Century</w:t>
      </w:r>
      <w:r w:rsidRPr="00114586">
        <w:rPr>
          <w:rFonts w:ascii="Cambria" w:eastAsia="Times New Roman" w:hAnsi="Cambria" w:cs="Times New Roman"/>
          <w:color w:val="000000"/>
          <w:sz w:val="24"/>
          <w:szCs w:val="24"/>
        </w:rPr>
        <w:t> (London:Zed Books, 1998).</w:t>
      </w:r>
    </w:p>
    <w:p w14:paraId="16D7B511" w14:textId="77777777" w:rsidR="00114586" w:rsidRPr="00114586" w:rsidRDefault="00114586" w:rsidP="00114586">
      <w:pPr>
        <w:pStyle w:val="ListParagraph"/>
        <w:numPr>
          <w:ilvl w:val="0"/>
          <w:numId w:val="3"/>
        </w:numPr>
        <w:shd w:val="clear" w:color="auto" w:fill="FFFFFF"/>
        <w:spacing w:after="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For the new history of masculinities R. W. Connell, </w:t>
      </w:r>
      <w:r w:rsidRPr="00114586">
        <w:rPr>
          <w:rFonts w:ascii="inherit" w:eastAsia="Times New Roman" w:hAnsi="inherit" w:cs="Times New Roman"/>
          <w:i/>
          <w:iCs/>
          <w:color w:val="000000"/>
          <w:sz w:val="24"/>
          <w:szCs w:val="24"/>
          <w:bdr w:val="none" w:sz="0" w:space="0" w:color="auto" w:frame="1"/>
        </w:rPr>
        <w:t>Masculinities</w:t>
      </w:r>
      <w:r w:rsidRPr="00114586">
        <w:rPr>
          <w:rFonts w:ascii="Cambria" w:eastAsia="Times New Roman" w:hAnsi="Cambria" w:cs="Times New Roman"/>
          <w:color w:val="000000"/>
          <w:sz w:val="24"/>
          <w:szCs w:val="24"/>
        </w:rPr>
        <w:t> (2nd edn., Berkeley: University of California Press, 2005) is essential, as isJudith Kegan Gardiner, </w:t>
      </w:r>
      <w:r w:rsidRPr="00114586">
        <w:rPr>
          <w:rFonts w:ascii="inherit" w:eastAsia="Times New Roman" w:hAnsi="inherit" w:cs="Times New Roman"/>
          <w:i/>
          <w:iCs/>
          <w:color w:val="000000"/>
          <w:sz w:val="24"/>
          <w:szCs w:val="24"/>
          <w:bdr w:val="none" w:sz="0" w:space="0" w:color="auto" w:frame="1"/>
        </w:rPr>
        <w:t>Masculinity Studies and Feminist Theory: New Directions</w:t>
      </w:r>
      <w:r w:rsidRPr="00114586">
        <w:rPr>
          <w:rFonts w:ascii="Cambria" w:eastAsia="Times New Roman" w:hAnsi="Cambria" w:cs="Times New Roman"/>
          <w:color w:val="000000"/>
          <w:sz w:val="24"/>
          <w:szCs w:val="24"/>
        </w:rPr>
        <w:t> (New York: Columbia University Press, 2002). Regional studiesinclude: Darlene Clark Hine and Earnestine Jenkins, eds., </w:t>
      </w:r>
      <w:r w:rsidRPr="00114586">
        <w:rPr>
          <w:rFonts w:ascii="inherit" w:eastAsia="Times New Roman" w:hAnsi="inherit" w:cs="Times New Roman"/>
          <w:i/>
          <w:iCs/>
          <w:color w:val="000000"/>
          <w:sz w:val="24"/>
          <w:szCs w:val="24"/>
          <w:bdr w:val="none" w:sz="0" w:space="0" w:color="auto" w:frame="1"/>
        </w:rPr>
        <w:t>A Question of Manhood:</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A Reader in US Black Men’s History and Masculinity</w:t>
      </w:r>
      <w:r w:rsidRPr="00114586">
        <w:rPr>
          <w:rFonts w:ascii="Cambria" w:eastAsia="Times New Roman" w:hAnsi="Cambria" w:cs="Times New Roman"/>
          <w:color w:val="000000"/>
          <w:sz w:val="24"/>
          <w:szCs w:val="24"/>
        </w:rPr>
        <w:t>(Bloomington: Indiana University Press, 1999); Matthew C. Gutmann, ed., </w:t>
      </w:r>
      <w:r w:rsidRPr="00114586">
        <w:rPr>
          <w:rFonts w:ascii="inherit" w:eastAsia="Times New Roman" w:hAnsi="inherit" w:cs="Times New Roman"/>
          <w:i/>
          <w:iCs/>
          <w:color w:val="000000"/>
          <w:sz w:val="24"/>
          <w:szCs w:val="24"/>
          <w:bdr w:val="none" w:sz="0" w:space="0" w:color="auto" w:frame="1"/>
        </w:rPr>
        <w:t>Changing Men and</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Masculinities in Latin America</w:t>
      </w:r>
      <w:r w:rsidRPr="00114586">
        <w:rPr>
          <w:rFonts w:ascii="Cambria" w:eastAsia="Times New Roman" w:hAnsi="Cambria" w:cs="Times New Roman"/>
          <w:color w:val="000000"/>
          <w:sz w:val="24"/>
          <w:szCs w:val="24"/>
        </w:rPr>
        <w:t> (Durham, NC:Duke University Press, 2003); Lisa A Lindsay and Stephan F. Miescher, eds., </w:t>
      </w:r>
      <w:r w:rsidRPr="00114586">
        <w:rPr>
          <w:rFonts w:ascii="inherit" w:eastAsia="Times New Roman" w:hAnsi="inherit" w:cs="Times New Roman"/>
          <w:i/>
          <w:iCs/>
          <w:color w:val="000000"/>
          <w:sz w:val="24"/>
          <w:szCs w:val="24"/>
          <w:bdr w:val="none" w:sz="0" w:space="0" w:color="auto" w:frame="1"/>
        </w:rPr>
        <w:t>Men and Masculinities in Modern Africa</w:t>
      </w:r>
      <w:r w:rsidRPr="00114586">
        <w:rPr>
          <w:rFonts w:ascii="Cambria" w:eastAsia="Times New Roman" w:hAnsi="Cambria" w:cs="Times New Roman"/>
          <w:color w:val="000000"/>
          <w:sz w:val="24"/>
          <w:szCs w:val="24"/>
        </w:rPr>
        <w:t> (Portsmouth, NH:Heinemann, 2003); Ruth Mazo Karras, </w:t>
      </w:r>
      <w:r w:rsidRPr="00114586">
        <w:rPr>
          <w:rFonts w:ascii="inherit" w:eastAsia="Times New Roman" w:hAnsi="inherit" w:cs="Times New Roman"/>
          <w:i/>
          <w:iCs/>
          <w:color w:val="000000"/>
          <w:sz w:val="24"/>
          <w:szCs w:val="24"/>
          <w:bdr w:val="none" w:sz="0" w:space="0" w:color="auto" w:frame="1"/>
        </w:rPr>
        <w:t>From Boys to Men: Formations of Masculinity in Late Medieval Europe</w:t>
      </w:r>
      <w:r w:rsidRPr="00114586">
        <w:rPr>
          <w:rFonts w:ascii="Cambria" w:eastAsia="Times New Roman" w:hAnsi="Cambria" w:cs="Times New Roman"/>
          <w:color w:val="000000"/>
          <w:sz w:val="24"/>
          <w:szCs w:val="24"/>
        </w:rPr>
        <w:t> (Philadelphia: University ofPennsylvania Press, 2003); Stephan Miescher, </w:t>
      </w:r>
      <w:r w:rsidRPr="00114586">
        <w:rPr>
          <w:rFonts w:ascii="inherit" w:eastAsia="Times New Roman" w:hAnsi="inherit" w:cs="Times New Roman"/>
          <w:i/>
          <w:iCs/>
          <w:color w:val="000000"/>
          <w:sz w:val="24"/>
          <w:szCs w:val="24"/>
          <w:bdr w:val="none" w:sz="0" w:space="0" w:color="auto" w:frame="1"/>
        </w:rPr>
        <w:t>Making Men in Ghana</w:t>
      </w:r>
      <w:r w:rsidRPr="00114586">
        <w:rPr>
          <w:rFonts w:ascii="Cambria" w:eastAsia="Times New Roman" w:hAnsi="Cambria" w:cs="Times New Roman"/>
          <w:color w:val="000000"/>
          <w:sz w:val="24"/>
          <w:szCs w:val="24"/>
        </w:rPr>
        <w:t> (Bloomington: Indiana University, 2005); John Tosh, </w:t>
      </w:r>
      <w:r w:rsidRPr="00114586">
        <w:rPr>
          <w:rFonts w:ascii="inherit" w:eastAsia="Times New Roman" w:hAnsi="inherit" w:cs="Times New Roman"/>
          <w:i/>
          <w:iCs/>
          <w:color w:val="000000"/>
          <w:sz w:val="24"/>
          <w:szCs w:val="24"/>
          <w:bdr w:val="none" w:sz="0" w:space="0" w:color="auto" w:frame="1"/>
        </w:rPr>
        <w:t>Manliness andMasculinities in Nineteenth-Century Britain: Essays on Gender, Family and Empire</w:t>
      </w:r>
      <w:r w:rsidRPr="00114586">
        <w:rPr>
          <w:rFonts w:ascii="Cambria" w:eastAsia="Times New Roman" w:hAnsi="Cambria" w:cs="Times New Roman"/>
          <w:color w:val="000000"/>
          <w:sz w:val="24"/>
          <w:szCs w:val="24"/>
        </w:rPr>
        <w:t> (New York: Pearson Longman, 2005); Stefan Dudink, KarenHagemann, and Anna Clark, eds., </w:t>
      </w:r>
      <w:r w:rsidRPr="00114586">
        <w:rPr>
          <w:rFonts w:ascii="inherit" w:eastAsia="Times New Roman" w:hAnsi="inherit" w:cs="Times New Roman"/>
          <w:i/>
          <w:iCs/>
          <w:color w:val="000000"/>
          <w:sz w:val="24"/>
          <w:szCs w:val="24"/>
          <w:bdr w:val="none" w:sz="0" w:space="0" w:color="auto" w:frame="1"/>
        </w:rPr>
        <w:t>Representing Masculinity: Male Citizenship in Modern Western Culture</w:t>
      </w:r>
      <w:r w:rsidRPr="00114586">
        <w:rPr>
          <w:rFonts w:ascii="Cambria" w:eastAsia="Times New Roman" w:hAnsi="Cambria" w:cs="Times New Roman"/>
          <w:color w:val="000000"/>
          <w:sz w:val="24"/>
          <w:szCs w:val="24"/>
        </w:rPr>
        <w:t> (New York: Palgrave Macmillan, 2007).There is a good review of many new studies in Robert A. Nye, “Western Masculinities in War and Peace,” </w:t>
      </w:r>
      <w:r w:rsidRPr="00114586">
        <w:rPr>
          <w:rFonts w:ascii="inherit" w:eastAsia="Times New Roman" w:hAnsi="inherit" w:cs="Times New Roman"/>
          <w:i/>
          <w:iCs/>
          <w:color w:val="000000"/>
          <w:sz w:val="24"/>
          <w:szCs w:val="24"/>
          <w:bdr w:val="none" w:sz="0" w:space="0" w:color="auto" w:frame="1"/>
        </w:rPr>
        <w:t>American Historical</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Review</w:t>
      </w:r>
      <w:r w:rsidRPr="00114586">
        <w:rPr>
          <w:rFonts w:ascii="Cambria" w:eastAsia="Times New Roman" w:hAnsi="Cambria" w:cs="Times New Roman"/>
          <w:color w:val="000000"/>
          <w:sz w:val="24"/>
          <w:szCs w:val="24"/>
        </w:rPr>
        <w:t>, 112 (Apr.2007), 417–38.</w:t>
      </w:r>
    </w:p>
    <w:p w14:paraId="6C4A0478" w14:textId="77777777" w:rsidR="00114586" w:rsidRPr="00114586" w:rsidRDefault="00114586" w:rsidP="00114586">
      <w:pPr>
        <w:pStyle w:val="ListParagraph"/>
        <w:numPr>
          <w:ilvl w:val="0"/>
          <w:numId w:val="3"/>
        </w:numPr>
        <w:shd w:val="clear" w:color="auto" w:fill="FFFFFF"/>
        <w:spacing w:after="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Analyses of ideas in Asia include Leigh Minturn, </w:t>
      </w:r>
      <w:r w:rsidRPr="00114586">
        <w:rPr>
          <w:rFonts w:ascii="inherit" w:eastAsia="Times New Roman" w:hAnsi="inherit" w:cs="Times New Roman"/>
          <w:i/>
          <w:iCs/>
          <w:color w:val="000000"/>
          <w:sz w:val="24"/>
          <w:szCs w:val="24"/>
          <w:bdr w:val="none" w:sz="0" w:space="0" w:color="auto" w:frame="1"/>
        </w:rPr>
        <w:t>Sita’s Daughters: Coming</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out of Purdah: The Rajput Women of Khalapur Revisited</w:t>
      </w:r>
      <w:r w:rsidRPr="00114586">
        <w:rPr>
          <w:rFonts w:ascii="Cambria" w:eastAsia="Times New Roman" w:hAnsi="Cambria" w:cs="Times New Roman"/>
          <w:color w:val="000000"/>
          <w:sz w:val="24"/>
          <w:szCs w:val="24"/>
        </w:rPr>
        <w:t> (NewYork: Oxford University Press, 1993); Lisa Raphals, </w:t>
      </w:r>
      <w:r w:rsidRPr="00114586">
        <w:rPr>
          <w:rFonts w:ascii="inherit" w:eastAsia="Times New Roman" w:hAnsi="inherit" w:cs="Times New Roman"/>
          <w:i/>
          <w:iCs/>
          <w:color w:val="000000"/>
          <w:sz w:val="24"/>
          <w:szCs w:val="24"/>
          <w:bdr w:val="none" w:sz="0" w:space="0" w:color="auto" w:frame="1"/>
        </w:rPr>
        <w:t>Sharing the Light:</w:t>
      </w:r>
    </w:p>
    <w:p w14:paraId="6E9A71BE" w14:textId="77777777" w:rsidR="00114586" w:rsidRPr="00114586" w:rsidRDefault="00114586" w:rsidP="00114586">
      <w:pPr>
        <w:pStyle w:val="ListParagraph"/>
        <w:numPr>
          <w:ilvl w:val="0"/>
          <w:numId w:val="3"/>
        </w:numPr>
        <w:shd w:val="clear" w:color="auto" w:fill="FFFFFF"/>
        <w:spacing w:after="0" w:line="240" w:lineRule="auto"/>
        <w:rPr>
          <w:rFonts w:ascii="Cambria" w:eastAsia="Times New Roman" w:hAnsi="Cambria" w:cs="Times New Roman"/>
          <w:color w:val="000000"/>
          <w:sz w:val="24"/>
          <w:szCs w:val="24"/>
        </w:rPr>
      </w:pPr>
      <w:r w:rsidRPr="00114586">
        <w:rPr>
          <w:rFonts w:ascii="inherit" w:eastAsia="Times New Roman" w:hAnsi="inherit" w:cs="Times New Roman"/>
          <w:i/>
          <w:iCs/>
          <w:color w:val="000000"/>
          <w:sz w:val="24"/>
          <w:szCs w:val="24"/>
          <w:bdr w:val="none" w:sz="0" w:space="0" w:color="auto" w:frame="1"/>
        </w:rPr>
        <w:t>Representations of Women and Virtue in Early China</w:t>
      </w:r>
      <w:r w:rsidRPr="00114586">
        <w:rPr>
          <w:rFonts w:ascii="Cambria" w:eastAsia="Times New Roman" w:hAnsi="Cambria" w:cs="Times New Roman"/>
          <w:color w:val="000000"/>
          <w:sz w:val="24"/>
          <w:szCs w:val="24"/>
        </w:rPr>
        <w:t> (Albany: State University Press of New York, 1998); Charlotte Furth, </w:t>
      </w:r>
      <w:r w:rsidRPr="00114586">
        <w:rPr>
          <w:rFonts w:ascii="inherit" w:eastAsia="Times New Roman" w:hAnsi="inherit" w:cs="Times New Roman"/>
          <w:i/>
          <w:iCs/>
          <w:color w:val="000000"/>
          <w:sz w:val="24"/>
          <w:szCs w:val="24"/>
          <w:bdr w:val="none" w:sz="0" w:space="0" w:color="auto" w:frame="1"/>
        </w:rPr>
        <w:t>A Flourishing Yin:Gender in China’s Medical History, 960–</w:t>
      </w:r>
      <w:r w:rsidRPr="00114586">
        <w:rPr>
          <w:rFonts w:ascii="inherit" w:eastAsia="Times New Roman" w:hAnsi="inherit" w:cs="Times New Roman"/>
          <w:i/>
          <w:iCs/>
          <w:color w:val="000000"/>
          <w:sz w:val="24"/>
          <w:szCs w:val="24"/>
          <w:bdr w:val="none" w:sz="0" w:space="0" w:color="auto" w:frame="1"/>
        </w:rPr>
        <w:lastRenderedPageBreak/>
        <w:t>1665</w:t>
      </w:r>
      <w:r w:rsidRPr="00114586">
        <w:rPr>
          <w:rFonts w:ascii="Cambria" w:eastAsia="Times New Roman" w:hAnsi="Cambria" w:cs="Times New Roman"/>
          <w:color w:val="000000"/>
          <w:sz w:val="24"/>
          <w:szCs w:val="24"/>
        </w:rPr>
        <w:t> (Berkeley: University of California Press, 1999); Mandakranta Bose, ed., </w:t>
      </w:r>
      <w:r w:rsidRPr="00114586">
        <w:rPr>
          <w:rFonts w:ascii="inherit" w:eastAsia="Times New Roman" w:hAnsi="inherit" w:cs="Times New Roman"/>
          <w:i/>
          <w:iCs/>
          <w:color w:val="000000"/>
          <w:sz w:val="24"/>
          <w:szCs w:val="24"/>
          <w:bdr w:val="none" w:sz="0" w:space="0" w:color="auto" w:frame="1"/>
        </w:rPr>
        <w:t>Faces of the Feminine inAncient, Medieval, and Modern India</w:t>
      </w:r>
      <w:r w:rsidRPr="00114586">
        <w:rPr>
          <w:rFonts w:ascii="Cambria" w:eastAsia="Times New Roman" w:hAnsi="Cambria" w:cs="Times New Roman"/>
          <w:color w:val="000000"/>
          <w:sz w:val="24"/>
          <w:szCs w:val="24"/>
        </w:rPr>
        <w:t> (New York: Oxford University Press, 2000); Zainab Bahrani, </w:t>
      </w:r>
      <w:r w:rsidRPr="00114586">
        <w:rPr>
          <w:rFonts w:ascii="inherit" w:eastAsia="Times New Roman" w:hAnsi="inherit" w:cs="Times New Roman"/>
          <w:i/>
          <w:iCs/>
          <w:color w:val="000000"/>
          <w:sz w:val="24"/>
          <w:szCs w:val="24"/>
          <w:bdr w:val="none" w:sz="0" w:space="0" w:color="auto" w:frame="1"/>
        </w:rPr>
        <w:t>Women of Babylon: Gender andRepresentation in</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Mesopotamia</w:t>
      </w:r>
      <w:r w:rsidRPr="00114586">
        <w:rPr>
          <w:rFonts w:ascii="Cambria" w:eastAsia="Times New Roman" w:hAnsi="Cambria" w:cs="Times New Roman"/>
          <w:color w:val="000000"/>
          <w:sz w:val="24"/>
          <w:szCs w:val="24"/>
        </w:rPr>
        <w:t> (New York: Routledge, 2001); Susan Brownell and Jeffrey N. Wasserstrom, eds., </w:t>
      </w:r>
      <w:r w:rsidRPr="00114586">
        <w:rPr>
          <w:rFonts w:ascii="inherit" w:eastAsia="Times New Roman" w:hAnsi="inherit" w:cs="Times New Roman"/>
          <w:i/>
          <w:iCs/>
          <w:color w:val="000000"/>
          <w:sz w:val="24"/>
          <w:szCs w:val="24"/>
          <w:bdr w:val="none" w:sz="0" w:space="0" w:color="auto" w:frame="1"/>
        </w:rPr>
        <w:t>Chinese Femininities, ChineseMasculinities: A Reader</w:t>
      </w:r>
      <w:r w:rsidRPr="00114586">
        <w:rPr>
          <w:rFonts w:ascii="Cambria" w:eastAsia="Times New Roman" w:hAnsi="Cambria" w:cs="Times New Roman"/>
          <w:color w:val="000000"/>
          <w:sz w:val="24"/>
          <w:szCs w:val="24"/>
        </w:rPr>
        <w:t> (Berkeley: University of California Press, 2002); Helen Creese, </w:t>
      </w:r>
      <w:r w:rsidRPr="00114586">
        <w:rPr>
          <w:rFonts w:ascii="inherit" w:eastAsia="Times New Roman" w:hAnsi="inherit" w:cs="Times New Roman"/>
          <w:i/>
          <w:iCs/>
          <w:color w:val="000000"/>
          <w:sz w:val="24"/>
          <w:szCs w:val="24"/>
          <w:bdr w:val="none" w:sz="0" w:space="0" w:color="auto" w:frame="1"/>
        </w:rPr>
        <w:t>Women of</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the Kakawin World: Marriage and Sexuality inthe Indic Courts of Java and</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Bali</w:t>
      </w:r>
      <w:r w:rsidRPr="00114586">
        <w:rPr>
          <w:rFonts w:ascii="Cambria" w:eastAsia="Times New Roman" w:hAnsi="Cambria" w:cs="Times New Roman"/>
          <w:color w:val="000000"/>
          <w:sz w:val="24"/>
          <w:szCs w:val="24"/>
        </w:rPr>
        <w:t> (Armonk, NY: M. E. Sharpe, 2004); Dorothy Ko, </w:t>
      </w:r>
      <w:r w:rsidRPr="00114586">
        <w:rPr>
          <w:rFonts w:ascii="inherit" w:eastAsia="Times New Roman" w:hAnsi="inherit" w:cs="Times New Roman"/>
          <w:i/>
          <w:iCs/>
          <w:color w:val="000000"/>
          <w:sz w:val="24"/>
          <w:szCs w:val="24"/>
          <w:bdr w:val="none" w:sz="0" w:space="0" w:color="auto" w:frame="1"/>
        </w:rPr>
        <w:t>Cinderella’s Sisters:</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A Revisionist History of Footbinding</w:t>
      </w:r>
      <w:r w:rsidRPr="00114586">
        <w:rPr>
          <w:rFonts w:ascii="Cambria" w:eastAsia="Times New Roman" w:hAnsi="Cambria" w:cs="Times New Roman"/>
          <w:color w:val="000000"/>
          <w:sz w:val="24"/>
          <w:szCs w:val="24"/>
        </w:rPr>
        <w:t>(Berkeley: University of California Press, 2005); Miyako Inoue, </w:t>
      </w:r>
      <w:r w:rsidRPr="00114586">
        <w:rPr>
          <w:rFonts w:ascii="inherit" w:eastAsia="Times New Roman" w:hAnsi="inherit" w:cs="Times New Roman"/>
          <w:i/>
          <w:iCs/>
          <w:color w:val="000000"/>
          <w:sz w:val="24"/>
          <w:szCs w:val="24"/>
          <w:bdr w:val="none" w:sz="0" w:space="0" w:color="auto" w:frame="1"/>
        </w:rPr>
        <w:t>Vicarious Language: Gender and Linguistic</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Modernity in Japan</w:t>
      </w:r>
      <w:r w:rsidRPr="00114586">
        <w:rPr>
          <w:rFonts w:ascii="Cambria" w:eastAsia="Times New Roman" w:hAnsi="Cambria" w:cs="Times New Roman"/>
          <w:color w:val="000000"/>
          <w:sz w:val="24"/>
          <w:szCs w:val="24"/>
        </w:rPr>
        <w:t> (Berkeley:University of California Press, 2006).</w:t>
      </w:r>
    </w:p>
    <w:p w14:paraId="360A737F" w14:textId="77777777" w:rsidR="00114586" w:rsidRPr="00114586" w:rsidRDefault="00114586" w:rsidP="00114586">
      <w:pPr>
        <w:pStyle w:val="ListParagraph"/>
        <w:numPr>
          <w:ilvl w:val="0"/>
          <w:numId w:val="3"/>
        </w:numPr>
        <w:shd w:val="clear" w:color="auto" w:fill="FFFFFF"/>
        <w:spacing w:after="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On ideas in Europe, see Arlene Saxonhouse, </w:t>
      </w:r>
      <w:r w:rsidRPr="00114586">
        <w:rPr>
          <w:rFonts w:ascii="inherit" w:eastAsia="Times New Roman" w:hAnsi="inherit" w:cs="Times New Roman"/>
          <w:i/>
          <w:iCs/>
          <w:color w:val="000000"/>
          <w:sz w:val="24"/>
          <w:szCs w:val="24"/>
          <w:bdr w:val="none" w:sz="0" w:space="0" w:color="auto" w:frame="1"/>
        </w:rPr>
        <w:t>Women in the History of</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Political Thought from the Greeks to Machiavelli</w:t>
      </w:r>
      <w:r w:rsidRPr="00114586">
        <w:rPr>
          <w:rFonts w:ascii="Cambria" w:eastAsia="Times New Roman" w:hAnsi="Cambria" w:cs="Times New Roman"/>
          <w:color w:val="000000"/>
          <w:sz w:val="24"/>
          <w:szCs w:val="24"/>
        </w:rPr>
        <w:t> (New York: Praeger,1985); Constance Jordan, </w:t>
      </w:r>
      <w:r w:rsidRPr="00114586">
        <w:rPr>
          <w:rFonts w:ascii="inherit" w:eastAsia="Times New Roman" w:hAnsi="inherit" w:cs="Times New Roman"/>
          <w:i/>
          <w:iCs/>
          <w:color w:val="000000"/>
          <w:sz w:val="24"/>
          <w:szCs w:val="24"/>
          <w:bdr w:val="none" w:sz="0" w:space="0" w:color="auto" w:frame="1"/>
        </w:rPr>
        <w:t>Renaissance Feminism: Literary Texts and Political Models</w:t>
      </w:r>
      <w:r w:rsidRPr="00114586">
        <w:rPr>
          <w:rFonts w:ascii="Cambria" w:eastAsia="Times New Roman" w:hAnsi="Cambria" w:cs="Times New Roman"/>
          <w:color w:val="000000"/>
          <w:sz w:val="24"/>
          <w:szCs w:val="24"/>
        </w:rPr>
        <w:t> (Ithaca, NY: Cornell University Press, 1990); ElaineFantham et al., </w:t>
      </w:r>
      <w:r w:rsidRPr="00114586">
        <w:rPr>
          <w:rFonts w:ascii="inherit" w:eastAsia="Times New Roman" w:hAnsi="inherit" w:cs="Times New Roman"/>
          <w:i/>
          <w:iCs/>
          <w:color w:val="000000"/>
          <w:sz w:val="24"/>
          <w:szCs w:val="24"/>
          <w:bdr w:val="none" w:sz="0" w:space="0" w:color="auto" w:frame="1"/>
        </w:rPr>
        <w:t>Women in the Classical World: Image and Text</w:t>
      </w:r>
      <w:r w:rsidRPr="00114586">
        <w:rPr>
          <w:rFonts w:ascii="Cambria" w:eastAsia="Times New Roman" w:hAnsi="Cambria" w:cs="Times New Roman"/>
          <w:color w:val="000000"/>
          <w:sz w:val="24"/>
          <w:szCs w:val="24"/>
        </w:rPr>
        <w:t> (New York: Oxford University Press, 1994); Helena Goscilo, </w:t>
      </w:r>
      <w:r w:rsidRPr="00114586">
        <w:rPr>
          <w:rFonts w:ascii="inherit" w:eastAsia="Times New Roman" w:hAnsi="inherit" w:cs="Times New Roman"/>
          <w:i/>
          <w:iCs/>
          <w:color w:val="000000"/>
          <w:sz w:val="24"/>
          <w:szCs w:val="24"/>
          <w:bdr w:val="none" w:sz="0" w:space="0" w:color="auto" w:frame="1"/>
        </w:rPr>
        <w:t>Dehexing Sex: RussianWomanhood during and after Glasnost</w:t>
      </w:r>
      <w:r w:rsidRPr="00114586">
        <w:rPr>
          <w:rFonts w:ascii="Cambria" w:eastAsia="Times New Roman" w:hAnsi="Cambria" w:cs="Times New Roman"/>
          <w:color w:val="000000"/>
          <w:sz w:val="24"/>
          <w:szCs w:val="24"/>
        </w:rPr>
        <w:t> (Ann Arbor: University of Michigan Press, 1996); Victoria Lorée Enders and Pamela Beth Radcliff, eds., </w:t>
      </w:r>
      <w:r w:rsidRPr="00114586">
        <w:rPr>
          <w:rFonts w:ascii="inherit" w:eastAsia="Times New Roman" w:hAnsi="inherit" w:cs="Times New Roman"/>
          <w:i/>
          <w:iCs/>
          <w:color w:val="000000"/>
          <w:sz w:val="24"/>
          <w:szCs w:val="24"/>
          <w:bdr w:val="none" w:sz="0" w:space="0" w:color="auto" w:frame="1"/>
        </w:rPr>
        <w:t>Constructing Spanish Womanhood: Female Identity in Modern Spain</w:t>
      </w:r>
      <w:r w:rsidRPr="00114586">
        <w:rPr>
          <w:rFonts w:ascii="Cambria" w:eastAsia="Times New Roman" w:hAnsi="Cambria" w:cs="Times New Roman"/>
          <w:color w:val="000000"/>
          <w:sz w:val="24"/>
          <w:szCs w:val="24"/>
        </w:rPr>
        <w:t> (Syracuse: State University of New York Press, 1999); Thelma S. Fensterand Clare A. Lees, eds., </w:t>
      </w:r>
      <w:r w:rsidRPr="00114586">
        <w:rPr>
          <w:rFonts w:ascii="inherit" w:eastAsia="Times New Roman" w:hAnsi="inherit" w:cs="Times New Roman"/>
          <w:i/>
          <w:iCs/>
          <w:color w:val="000000"/>
          <w:sz w:val="24"/>
          <w:szCs w:val="24"/>
          <w:bdr w:val="none" w:sz="0" w:space="0" w:color="auto" w:frame="1"/>
        </w:rPr>
        <w:t>Gender in Debate from the Early Middle Ages to</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the Renaissance</w:t>
      </w:r>
      <w:r w:rsidRPr="00114586">
        <w:rPr>
          <w:rFonts w:ascii="Cambria" w:eastAsia="Times New Roman" w:hAnsi="Cambria" w:cs="Times New Roman"/>
          <w:color w:val="000000"/>
          <w:sz w:val="24"/>
          <w:szCs w:val="24"/>
        </w:rPr>
        <w:t> (New York: Palgrave, 2002); Ulrike Gleixner and MarionGray, eds., </w:t>
      </w:r>
      <w:r w:rsidRPr="00114586">
        <w:rPr>
          <w:rFonts w:ascii="inherit" w:eastAsia="Times New Roman" w:hAnsi="inherit" w:cs="Times New Roman"/>
          <w:i/>
          <w:iCs/>
          <w:color w:val="000000"/>
          <w:sz w:val="24"/>
          <w:szCs w:val="24"/>
          <w:bdr w:val="none" w:sz="0" w:space="0" w:color="auto" w:frame="1"/>
        </w:rPr>
        <w:t>Gender in Transition: Discourse and Practice in GermanSpeaking Europe, 1750–1830</w:t>
      </w:r>
      <w:r w:rsidRPr="00114586">
        <w:rPr>
          <w:rFonts w:ascii="Cambria" w:eastAsia="Times New Roman" w:hAnsi="Cambria" w:cs="Times New Roman"/>
          <w:color w:val="000000"/>
          <w:sz w:val="24"/>
          <w:szCs w:val="24"/>
        </w:rPr>
        <w:t> (Ann Arbor: University of Michigan, 2006).</w:t>
      </w:r>
    </w:p>
    <w:p w14:paraId="49FD9126" w14:textId="77777777" w:rsidR="00114586" w:rsidRPr="00114586" w:rsidRDefault="00114586" w:rsidP="00114586">
      <w:pPr>
        <w:pStyle w:val="ListParagraph"/>
        <w:numPr>
          <w:ilvl w:val="0"/>
          <w:numId w:val="3"/>
        </w:numPr>
        <w:shd w:val="clear" w:color="auto" w:fill="FFFFFF"/>
        <w:spacing w:after="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On Latin America, see Hilary McD. Beckles, </w:t>
      </w:r>
      <w:r w:rsidRPr="00114586">
        <w:rPr>
          <w:rFonts w:ascii="inherit" w:eastAsia="Times New Roman" w:hAnsi="inherit" w:cs="Times New Roman"/>
          <w:i/>
          <w:iCs/>
          <w:color w:val="000000"/>
          <w:sz w:val="24"/>
          <w:szCs w:val="24"/>
          <w:bdr w:val="none" w:sz="0" w:space="0" w:color="auto" w:frame="1"/>
        </w:rPr>
        <w:t>Centering Woman: Gender</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Relations in Caribbean Slave Society</w:t>
      </w:r>
      <w:r w:rsidRPr="00114586">
        <w:rPr>
          <w:rFonts w:ascii="Cambria" w:eastAsia="Times New Roman" w:hAnsi="Cambria" w:cs="Times New Roman"/>
          <w:color w:val="000000"/>
          <w:sz w:val="24"/>
          <w:szCs w:val="24"/>
        </w:rPr>
        <w:t> (New York: Markus Weiner,1998); Irene Silverblatt, </w:t>
      </w:r>
      <w:r w:rsidRPr="00114586">
        <w:rPr>
          <w:rFonts w:ascii="inherit" w:eastAsia="Times New Roman" w:hAnsi="inherit" w:cs="Times New Roman"/>
          <w:i/>
          <w:iCs/>
          <w:color w:val="000000"/>
          <w:sz w:val="24"/>
          <w:szCs w:val="24"/>
          <w:bdr w:val="none" w:sz="0" w:space="0" w:color="auto" w:frame="1"/>
        </w:rPr>
        <w:t>Moon, Sun, and Witches: Gender Ideologies and Class in</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Inca and Colonial Peru</w:t>
      </w:r>
      <w:r w:rsidRPr="00114586">
        <w:rPr>
          <w:rFonts w:ascii="Cambria" w:eastAsia="Times New Roman" w:hAnsi="Cambria" w:cs="Times New Roman"/>
          <w:color w:val="000000"/>
          <w:sz w:val="24"/>
          <w:szCs w:val="24"/>
        </w:rPr>
        <w:t> (Princeton, NJ: Princeton UniversityPress, 1987); Lowell S. Gustafson and Amelia M. Trevelyan, eds., </w:t>
      </w:r>
      <w:r w:rsidRPr="00114586">
        <w:rPr>
          <w:rFonts w:ascii="inherit" w:eastAsia="Times New Roman" w:hAnsi="inherit" w:cs="Times New Roman"/>
          <w:i/>
          <w:iCs/>
          <w:color w:val="000000"/>
          <w:sz w:val="24"/>
          <w:szCs w:val="24"/>
          <w:bdr w:val="none" w:sz="0" w:space="0" w:color="auto" w:frame="1"/>
        </w:rPr>
        <w:t>Ancient Maya Gender</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Identity and Relations</w:t>
      </w:r>
      <w:r w:rsidRPr="00114586">
        <w:rPr>
          <w:rFonts w:ascii="Cambria" w:eastAsia="Times New Roman" w:hAnsi="Cambria" w:cs="Times New Roman"/>
          <w:color w:val="000000"/>
          <w:sz w:val="24"/>
          <w:szCs w:val="24"/>
        </w:rPr>
        <w:t> (Westport, CT: Bergin and Garvey,2002). Discussions of the United States include Gail Bederman, </w:t>
      </w:r>
      <w:r w:rsidRPr="00114586">
        <w:rPr>
          <w:rFonts w:ascii="inherit" w:eastAsia="Times New Roman" w:hAnsi="inherit" w:cs="Times New Roman"/>
          <w:i/>
          <w:iCs/>
          <w:color w:val="000000"/>
          <w:sz w:val="24"/>
          <w:szCs w:val="24"/>
          <w:bdr w:val="none" w:sz="0" w:space="0" w:color="auto" w:frame="1"/>
        </w:rPr>
        <w:t>Manliness and Civilization: A</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Cultural History of Gender and Race in the UnitedStates, 1880–1917</w:t>
      </w:r>
      <w:r w:rsidRPr="00114586">
        <w:rPr>
          <w:rFonts w:ascii="Cambria" w:eastAsia="Times New Roman" w:hAnsi="Cambria" w:cs="Times New Roman"/>
          <w:color w:val="000000"/>
          <w:sz w:val="24"/>
          <w:szCs w:val="24"/>
        </w:rPr>
        <w:t> (Chicago: University of Chicago Press, 1995); Theda Purdue, </w:t>
      </w:r>
      <w:r w:rsidRPr="00114586">
        <w:rPr>
          <w:rFonts w:ascii="inherit" w:eastAsia="Times New Roman" w:hAnsi="inherit" w:cs="Times New Roman"/>
          <w:i/>
          <w:iCs/>
          <w:color w:val="000000"/>
          <w:sz w:val="24"/>
          <w:szCs w:val="24"/>
          <w:bdr w:val="none" w:sz="0" w:space="0" w:color="auto" w:frame="1"/>
        </w:rPr>
        <w:t>Cherokee</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Women: Gender and Culture Change, 1700–1835</w:t>
      </w:r>
      <w:r w:rsidRPr="00114586">
        <w:rPr>
          <w:rFonts w:ascii="Cambria" w:eastAsia="Times New Roman" w:hAnsi="Cambria" w:cs="Times New Roman"/>
          <w:color w:val="000000"/>
          <w:sz w:val="24"/>
          <w:szCs w:val="24"/>
        </w:rPr>
        <w:t>(Lincoln: University of Nebraska Press, 1998); Martha Hodes, ed., </w:t>
      </w:r>
      <w:r w:rsidRPr="00114586">
        <w:rPr>
          <w:rFonts w:ascii="inherit" w:eastAsia="Times New Roman" w:hAnsi="inherit" w:cs="Times New Roman"/>
          <w:i/>
          <w:iCs/>
          <w:color w:val="000000"/>
          <w:sz w:val="24"/>
          <w:szCs w:val="24"/>
          <w:bdr w:val="none" w:sz="0" w:space="0" w:color="auto" w:frame="1"/>
        </w:rPr>
        <w:t>Sex, Love, Race: Crossing</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Boundaries in North American History</w:t>
      </w:r>
      <w:r w:rsidRPr="00114586">
        <w:rPr>
          <w:rFonts w:ascii="Cambria" w:eastAsia="Times New Roman" w:hAnsi="Cambria" w:cs="Times New Roman"/>
          <w:color w:val="000000"/>
          <w:sz w:val="24"/>
          <w:szCs w:val="24"/>
        </w:rPr>
        <w:t> (New York:New York University Press, 1999).</w:t>
      </w:r>
    </w:p>
    <w:p w14:paraId="1FB6399F" w14:textId="77777777" w:rsidR="00114586" w:rsidRPr="00114586" w:rsidRDefault="00114586" w:rsidP="00114586">
      <w:pPr>
        <w:pStyle w:val="ListParagraph"/>
        <w:numPr>
          <w:ilvl w:val="0"/>
          <w:numId w:val="3"/>
        </w:numPr>
        <w:shd w:val="clear" w:color="auto" w:fill="FFFFFF"/>
        <w:spacing w:after="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On Africa, see Karen Armstrong, </w:t>
      </w:r>
      <w:r w:rsidRPr="00114586">
        <w:rPr>
          <w:rFonts w:ascii="inherit" w:eastAsia="Times New Roman" w:hAnsi="inherit" w:cs="Times New Roman"/>
          <w:i/>
          <w:iCs/>
          <w:color w:val="000000"/>
          <w:sz w:val="24"/>
          <w:szCs w:val="24"/>
          <w:bdr w:val="none" w:sz="0" w:space="0" w:color="auto" w:frame="1"/>
        </w:rPr>
        <w:t>Shifting Ground and Cultural Bodies:</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Postcolonial Gender Relations in Africa and India</w:t>
      </w:r>
      <w:r w:rsidRPr="00114586">
        <w:rPr>
          <w:rFonts w:ascii="Cambria" w:eastAsia="Times New Roman" w:hAnsi="Cambria" w:cs="Times New Roman"/>
          <w:color w:val="000000"/>
          <w:sz w:val="24"/>
          <w:szCs w:val="24"/>
        </w:rPr>
        <w:t> (New York: UniversityPress of America, 1999); Dorothy L. Hodgson and Sheryl A. McCurdy, eds., </w:t>
      </w:r>
      <w:r w:rsidRPr="00114586">
        <w:rPr>
          <w:rFonts w:ascii="inherit" w:eastAsia="Times New Roman" w:hAnsi="inherit" w:cs="Times New Roman"/>
          <w:i/>
          <w:iCs/>
          <w:color w:val="000000"/>
          <w:sz w:val="24"/>
          <w:szCs w:val="24"/>
          <w:bdr w:val="none" w:sz="0" w:space="0" w:color="auto" w:frame="1"/>
        </w:rPr>
        <w:t>“Wicked” Women and the Reconfiguration of Gender in Africa</w:t>
      </w:r>
      <w:r w:rsidRPr="00114586">
        <w:rPr>
          <w:rFonts w:ascii="Cambria" w:eastAsia="Times New Roman" w:hAnsi="Cambria" w:cs="Times New Roman"/>
          <w:color w:val="000000"/>
          <w:sz w:val="24"/>
          <w:szCs w:val="24"/>
        </w:rPr>
        <w:t>(Portsmouth, NH: Heinemann, 2001); Wendy Woodward, Patricia Hayes, and Gary Minkley, eds., </w:t>
      </w:r>
      <w:r w:rsidRPr="00114586">
        <w:rPr>
          <w:rFonts w:ascii="inherit" w:eastAsia="Times New Roman" w:hAnsi="inherit" w:cs="Times New Roman"/>
          <w:i/>
          <w:iCs/>
          <w:color w:val="000000"/>
          <w:sz w:val="24"/>
          <w:szCs w:val="24"/>
          <w:bdr w:val="none" w:sz="0" w:space="0" w:color="auto" w:frame="1"/>
        </w:rPr>
        <w:t>Deep hiStories: Gender and Colonialism inSouthern Africa</w:t>
      </w:r>
      <w:r w:rsidRPr="00114586">
        <w:rPr>
          <w:rFonts w:ascii="Cambria" w:eastAsia="Times New Roman" w:hAnsi="Cambria" w:cs="Times New Roman"/>
          <w:color w:val="000000"/>
          <w:sz w:val="24"/>
          <w:szCs w:val="24"/>
        </w:rPr>
        <w:t> (New York: Rodopi, 2002). For other parts of the world, see Denise O’Brien and Sharon W. Tiffany, </w:t>
      </w:r>
      <w:r w:rsidRPr="00114586">
        <w:rPr>
          <w:rFonts w:ascii="inherit" w:eastAsia="Times New Roman" w:hAnsi="inherit" w:cs="Times New Roman"/>
          <w:i/>
          <w:iCs/>
          <w:color w:val="000000"/>
          <w:sz w:val="24"/>
          <w:szCs w:val="24"/>
          <w:bdr w:val="none" w:sz="0" w:space="0" w:color="auto" w:frame="1"/>
        </w:rPr>
        <w:t>Rethinking Women’s Roles:Perspectives from the</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Pacific</w:t>
      </w:r>
      <w:r w:rsidRPr="00114586">
        <w:rPr>
          <w:rFonts w:ascii="Cambria" w:eastAsia="Times New Roman" w:hAnsi="Cambria" w:cs="Times New Roman"/>
          <w:color w:val="000000"/>
          <w:sz w:val="24"/>
          <w:szCs w:val="24"/>
        </w:rPr>
        <w:t> (Berkeley: University of California Press, 1984); Camron Michael Amin, </w:t>
      </w:r>
      <w:r w:rsidRPr="00114586">
        <w:rPr>
          <w:rFonts w:ascii="inherit" w:eastAsia="Times New Roman" w:hAnsi="inherit" w:cs="Times New Roman"/>
          <w:i/>
          <w:iCs/>
          <w:color w:val="000000"/>
          <w:sz w:val="24"/>
          <w:szCs w:val="24"/>
          <w:bdr w:val="none" w:sz="0" w:space="0" w:color="auto" w:frame="1"/>
        </w:rPr>
        <w:t>The Making of the Modern IranianWoman: Gender, State Policy, and Popular Culture, 1865–1946</w:t>
      </w:r>
      <w:r w:rsidRPr="00114586">
        <w:rPr>
          <w:rFonts w:ascii="Cambria" w:eastAsia="Times New Roman" w:hAnsi="Cambria" w:cs="Times New Roman"/>
          <w:color w:val="000000"/>
          <w:sz w:val="24"/>
          <w:szCs w:val="24"/>
        </w:rPr>
        <w:t> (Gainesville: University Press of Florida, 2002).</w:t>
      </w:r>
    </w:p>
    <w:p w14:paraId="2CCD41EF" w14:textId="77777777" w:rsidR="00114586" w:rsidRPr="00114586" w:rsidRDefault="00114586" w:rsidP="00114586">
      <w:pPr>
        <w:pStyle w:val="ListParagraph"/>
        <w:numPr>
          <w:ilvl w:val="0"/>
          <w:numId w:val="3"/>
        </w:numPr>
        <w:shd w:val="clear" w:color="auto" w:fill="FFFFFF"/>
        <w:spacing w:after="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Works that look at law as well as ideas include Mary Ann Glendon, </w:t>
      </w:r>
      <w:r w:rsidRPr="00114586">
        <w:rPr>
          <w:rFonts w:ascii="inherit" w:eastAsia="Times New Roman" w:hAnsi="inherit" w:cs="Times New Roman"/>
          <w:i/>
          <w:iCs/>
          <w:color w:val="000000"/>
          <w:sz w:val="24"/>
          <w:szCs w:val="24"/>
          <w:bdr w:val="none" w:sz="0" w:space="0" w:color="auto" w:frame="1"/>
        </w:rPr>
        <w:t>The</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Transformation of Family Law: State, Law, and Family in the UnitedStates</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and Western Europe</w:t>
      </w:r>
      <w:r w:rsidRPr="00114586">
        <w:rPr>
          <w:rFonts w:ascii="Cambria" w:eastAsia="Times New Roman" w:hAnsi="Cambria" w:cs="Times New Roman"/>
          <w:color w:val="000000"/>
          <w:sz w:val="24"/>
          <w:szCs w:val="24"/>
        </w:rPr>
        <w:t> (Chi</w:t>
      </w:r>
      <w:r w:rsidRPr="00114586">
        <w:rPr>
          <w:rFonts w:ascii="Cambria" w:eastAsia="Times New Roman" w:hAnsi="Cambria" w:cs="Times New Roman"/>
          <w:color w:val="000000"/>
          <w:sz w:val="24"/>
          <w:szCs w:val="24"/>
        </w:rPr>
        <w:lastRenderedPageBreak/>
        <w:t>cago: University of Chicago Press, 1989); Thomas Kuehn, </w:t>
      </w:r>
      <w:r w:rsidRPr="00114586">
        <w:rPr>
          <w:rFonts w:ascii="inherit" w:eastAsia="Times New Roman" w:hAnsi="inherit" w:cs="Times New Roman"/>
          <w:i/>
          <w:iCs/>
          <w:color w:val="000000"/>
          <w:sz w:val="24"/>
          <w:szCs w:val="24"/>
          <w:bdr w:val="none" w:sz="0" w:space="0" w:color="auto" w:frame="1"/>
        </w:rPr>
        <w:t>Law, Family, and Women: Toward a LegalAnthropology of</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Renaissance Italy</w:t>
      </w:r>
      <w:r w:rsidRPr="00114586">
        <w:rPr>
          <w:rFonts w:ascii="Cambria" w:eastAsia="Times New Roman" w:hAnsi="Cambria" w:cs="Times New Roman"/>
          <w:color w:val="000000"/>
          <w:sz w:val="24"/>
          <w:szCs w:val="24"/>
        </w:rPr>
        <w:t> (Chicago: University of Chicago Press, 1992); Laura Gowing, </w:t>
      </w:r>
      <w:r w:rsidRPr="00114586">
        <w:rPr>
          <w:rFonts w:ascii="inherit" w:eastAsia="Times New Roman" w:hAnsi="inherit" w:cs="Times New Roman"/>
          <w:i/>
          <w:iCs/>
          <w:color w:val="000000"/>
          <w:sz w:val="24"/>
          <w:szCs w:val="24"/>
          <w:bdr w:val="none" w:sz="0" w:space="0" w:color="auto" w:frame="1"/>
        </w:rPr>
        <w:t>Domestic Dangers: Women, Words, and Sex inEarly Modern</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London</w:t>
      </w:r>
      <w:r w:rsidRPr="00114586">
        <w:rPr>
          <w:rFonts w:ascii="Cambria" w:eastAsia="Times New Roman" w:hAnsi="Cambria" w:cs="Times New Roman"/>
          <w:color w:val="000000"/>
          <w:sz w:val="24"/>
          <w:szCs w:val="24"/>
        </w:rPr>
        <w:t> (Oxford: Clarendon Press, 1996); Erin P. Moore, </w:t>
      </w:r>
      <w:r w:rsidRPr="00114586">
        <w:rPr>
          <w:rFonts w:ascii="inherit" w:eastAsia="Times New Roman" w:hAnsi="inherit" w:cs="Times New Roman"/>
          <w:i/>
          <w:iCs/>
          <w:color w:val="000000"/>
          <w:sz w:val="24"/>
          <w:szCs w:val="24"/>
          <w:bdr w:val="none" w:sz="0" w:space="0" w:color="auto" w:frame="1"/>
        </w:rPr>
        <w:t>Gender, Law, and</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Resistance in India</w:t>
      </w:r>
      <w:r w:rsidRPr="00114586">
        <w:rPr>
          <w:rFonts w:ascii="Cambria" w:eastAsia="Times New Roman" w:hAnsi="Cambria" w:cs="Times New Roman"/>
          <w:color w:val="000000"/>
          <w:sz w:val="24"/>
          <w:szCs w:val="24"/>
        </w:rPr>
        <w:t> (Tucson: University of ArizonaPress, 1998); Tim Stretton, </w:t>
      </w:r>
      <w:r w:rsidRPr="00114586">
        <w:rPr>
          <w:rFonts w:ascii="inherit" w:eastAsia="Times New Roman" w:hAnsi="inherit" w:cs="Times New Roman"/>
          <w:i/>
          <w:iCs/>
          <w:color w:val="000000"/>
          <w:sz w:val="24"/>
          <w:szCs w:val="24"/>
          <w:bdr w:val="none" w:sz="0" w:space="0" w:color="auto" w:frame="1"/>
        </w:rPr>
        <w:t>Women Waging Law in Elizabethan England</w:t>
      </w:r>
      <w:r w:rsidRPr="00114586">
        <w:rPr>
          <w:rFonts w:ascii="Cambria" w:eastAsia="Times New Roman" w:hAnsi="Cambria" w:cs="Times New Roman"/>
          <w:color w:val="000000"/>
          <w:sz w:val="24"/>
          <w:szCs w:val="24"/>
        </w:rPr>
        <w:t> (Cambridge: Cambridge University Press, 1998); Srimati Basu, </w:t>
      </w:r>
      <w:r w:rsidRPr="00114586">
        <w:rPr>
          <w:rFonts w:ascii="inherit" w:eastAsia="Times New Roman" w:hAnsi="inherit" w:cs="Times New Roman"/>
          <w:i/>
          <w:iCs/>
          <w:color w:val="000000"/>
          <w:sz w:val="24"/>
          <w:szCs w:val="24"/>
          <w:bdr w:val="none" w:sz="0" w:space="0" w:color="auto" w:frame="1"/>
        </w:rPr>
        <w:t>SheComes to Take Her Rights: Indian Women, Property, and Propriety</w:t>
      </w:r>
      <w:r w:rsidRPr="00114586">
        <w:rPr>
          <w:rFonts w:ascii="Cambria" w:eastAsia="Times New Roman" w:hAnsi="Cambria" w:cs="Times New Roman"/>
          <w:color w:val="000000"/>
          <w:sz w:val="24"/>
          <w:szCs w:val="24"/>
        </w:rPr>
        <w:t> (Albany: State University of New York Press, 1999); Kimberly Gauderman, </w:t>
      </w:r>
      <w:r w:rsidRPr="00114586">
        <w:rPr>
          <w:rFonts w:ascii="inherit" w:eastAsia="Times New Roman" w:hAnsi="inherit" w:cs="Times New Roman"/>
          <w:i/>
          <w:iCs/>
          <w:color w:val="000000"/>
          <w:sz w:val="24"/>
          <w:szCs w:val="24"/>
          <w:bdr w:val="none" w:sz="0" w:space="0" w:color="auto" w:frame="1"/>
        </w:rPr>
        <w:t>Women’s Lives in Colonial Quito:</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Gender, Law, and Economy in Spanish America</w:t>
      </w:r>
      <w:r w:rsidRPr="00114586">
        <w:rPr>
          <w:rFonts w:ascii="Cambria" w:eastAsia="Times New Roman" w:hAnsi="Cambria" w:cs="Times New Roman"/>
          <w:color w:val="000000"/>
          <w:sz w:val="24"/>
          <w:szCs w:val="24"/>
        </w:rPr>
        <w:t> (Austin: University of Texas Press, 2003); Amira El-AzharySonbol, </w:t>
      </w:r>
      <w:r w:rsidRPr="00114586">
        <w:rPr>
          <w:rFonts w:ascii="inherit" w:eastAsia="Times New Roman" w:hAnsi="inherit" w:cs="Times New Roman"/>
          <w:i/>
          <w:iCs/>
          <w:color w:val="000000"/>
          <w:sz w:val="24"/>
          <w:szCs w:val="24"/>
          <w:bdr w:val="none" w:sz="0" w:space="0" w:color="auto" w:frame="1"/>
        </w:rPr>
        <w:t>Women of Jordan: Islam, Labor, and the Law</w:t>
      </w:r>
      <w:r w:rsidRPr="00114586">
        <w:rPr>
          <w:rFonts w:ascii="Cambria" w:eastAsia="Times New Roman" w:hAnsi="Cambria" w:cs="Times New Roman"/>
          <w:color w:val="000000"/>
          <w:sz w:val="24"/>
          <w:szCs w:val="24"/>
        </w:rPr>
        <w:t> (Syracuse, NY: Syracuse University Press, 2003); Elisabeth Meier Tetlow, </w:t>
      </w:r>
      <w:r w:rsidRPr="00114586">
        <w:rPr>
          <w:rFonts w:ascii="inherit" w:eastAsia="Times New Roman" w:hAnsi="inherit" w:cs="Times New Roman"/>
          <w:i/>
          <w:iCs/>
          <w:color w:val="000000"/>
          <w:sz w:val="24"/>
          <w:szCs w:val="24"/>
          <w:bdr w:val="none" w:sz="0" w:space="0" w:color="auto" w:frame="1"/>
        </w:rPr>
        <w:t>Women, Crimeand Punishment in Ancient Law and Society: The</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Ancient Near East</w:t>
      </w:r>
      <w:r w:rsidRPr="00114586">
        <w:rPr>
          <w:rFonts w:ascii="Cambria" w:eastAsia="Times New Roman" w:hAnsi="Cambria" w:cs="Times New Roman"/>
          <w:color w:val="000000"/>
          <w:sz w:val="24"/>
          <w:szCs w:val="24"/>
        </w:rPr>
        <w:t> (New York: Continuum International, 2004).</w:t>
      </w:r>
    </w:p>
    <w:p w14:paraId="59673801" w14:textId="77777777" w:rsidR="00114586" w:rsidRPr="00114586" w:rsidRDefault="00114586" w:rsidP="00114586">
      <w:pPr>
        <w:pStyle w:val="ListParagraph"/>
        <w:numPr>
          <w:ilvl w:val="0"/>
          <w:numId w:val="3"/>
        </w:numPr>
        <w:shd w:val="clear" w:color="auto" w:fill="FFFFFF"/>
        <w:spacing w:after="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Specific discussions about the links between gender and nature include Annette Kolodny, </w:t>
      </w:r>
      <w:r w:rsidRPr="00114586">
        <w:rPr>
          <w:rFonts w:ascii="inherit" w:eastAsia="Times New Roman" w:hAnsi="inherit" w:cs="Times New Roman"/>
          <w:i/>
          <w:iCs/>
          <w:color w:val="000000"/>
          <w:sz w:val="24"/>
          <w:szCs w:val="24"/>
          <w:bdr w:val="none" w:sz="0" w:space="0" w:color="auto" w:frame="1"/>
        </w:rPr>
        <w:t>The Land Before Her: Fantasy and Experience ofthe</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American Frontiers, 1630–1860</w:t>
      </w:r>
      <w:r w:rsidRPr="00114586">
        <w:rPr>
          <w:rFonts w:ascii="Cambria" w:eastAsia="Times New Roman" w:hAnsi="Cambria" w:cs="Times New Roman"/>
          <w:color w:val="000000"/>
          <w:sz w:val="24"/>
          <w:szCs w:val="24"/>
        </w:rPr>
        <w:t> (Chapel Hill: University of North Carolina Press, 1984); Carolyn Merchant, </w:t>
      </w:r>
      <w:r w:rsidRPr="00114586">
        <w:rPr>
          <w:rFonts w:ascii="inherit" w:eastAsia="Times New Roman" w:hAnsi="inherit" w:cs="Times New Roman"/>
          <w:i/>
          <w:iCs/>
          <w:color w:val="000000"/>
          <w:sz w:val="24"/>
          <w:szCs w:val="24"/>
          <w:bdr w:val="none" w:sz="0" w:space="0" w:color="auto" w:frame="1"/>
        </w:rPr>
        <w:t>The Death of Nature: Women,Ecology</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and the Scientific Revolution</w:t>
      </w:r>
      <w:r w:rsidRPr="00114586">
        <w:rPr>
          <w:rFonts w:ascii="Cambria" w:eastAsia="Times New Roman" w:hAnsi="Cambria" w:cs="Times New Roman"/>
          <w:color w:val="000000"/>
          <w:sz w:val="24"/>
          <w:szCs w:val="24"/>
        </w:rPr>
        <w:t> (New York: Harper and Row, 1980) and </w:t>
      </w:r>
      <w:r w:rsidRPr="00114586">
        <w:rPr>
          <w:rFonts w:ascii="inherit" w:eastAsia="Times New Roman" w:hAnsi="inherit" w:cs="Times New Roman"/>
          <w:i/>
          <w:iCs/>
          <w:color w:val="000000"/>
          <w:sz w:val="24"/>
          <w:szCs w:val="24"/>
          <w:bdr w:val="none" w:sz="0" w:space="0" w:color="auto" w:frame="1"/>
        </w:rPr>
        <w:t>Ecological Revolutions: Nature, Gender, and Science in NewEngland</w:t>
      </w:r>
      <w:r w:rsidRPr="00114586">
        <w:rPr>
          <w:rFonts w:ascii="Cambria" w:eastAsia="Times New Roman" w:hAnsi="Cambria" w:cs="Times New Roman"/>
          <w:color w:val="000000"/>
          <w:sz w:val="24"/>
          <w:szCs w:val="24"/>
        </w:rPr>
        <w:t> (Chapel Hill: University of North Carolina Press, 1989); Londa Schiebinger, </w:t>
      </w:r>
      <w:r w:rsidRPr="00114586">
        <w:rPr>
          <w:rFonts w:ascii="inherit" w:eastAsia="Times New Roman" w:hAnsi="inherit" w:cs="Times New Roman"/>
          <w:i/>
          <w:iCs/>
          <w:color w:val="000000"/>
          <w:sz w:val="24"/>
          <w:szCs w:val="24"/>
          <w:bdr w:val="none" w:sz="0" w:space="0" w:color="auto" w:frame="1"/>
        </w:rPr>
        <w:t>Nature’s Body: Gender in the Making of Modern Science</w:t>
      </w:r>
      <w:r w:rsidRPr="00114586">
        <w:rPr>
          <w:rFonts w:ascii="Cambria" w:eastAsia="Times New Roman" w:hAnsi="Cambria" w:cs="Times New Roman"/>
          <w:color w:val="000000"/>
          <w:sz w:val="24"/>
          <w:szCs w:val="24"/>
        </w:rPr>
        <w:t>(Boston: Beacon Press, 1993); Vera Norwood, </w:t>
      </w:r>
      <w:r w:rsidRPr="00114586">
        <w:rPr>
          <w:rFonts w:ascii="inherit" w:eastAsia="Times New Roman" w:hAnsi="inherit" w:cs="Times New Roman"/>
          <w:i/>
          <w:iCs/>
          <w:color w:val="000000"/>
          <w:sz w:val="24"/>
          <w:szCs w:val="24"/>
          <w:bdr w:val="none" w:sz="0" w:space="0" w:color="auto" w:frame="1"/>
        </w:rPr>
        <w:t>Made from This Earth: American Women and</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Nature</w:t>
      </w:r>
      <w:r w:rsidRPr="00114586">
        <w:rPr>
          <w:rFonts w:ascii="Cambria" w:eastAsia="Times New Roman" w:hAnsi="Cambria" w:cs="Times New Roman"/>
          <w:color w:val="000000"/>
          <w:sz w:val="24"/>
          <w:szCs w:val="24"/>
        </w:rPr>
        <w:t> (Chapel Hill: University of North CarolinaPress, 1995); Sherry Ortner, </w:t>
      </w:r>
      <w:r w:rsidRPr="00114586">
        <w:rPr>
          <w:rFonts w:ascii="inherit" w:eastAsia="Times New Roman" w:hAnsi="inherit" w:cs="Times New Roman"/>
          <w:i/>
          <w:iCs/>
          <w:color w:val="000000"/>
          <w:sz w:val="24"/>
          <w:szCs w:val="24"/>
          <w:bdr w:val="none" w:sz="0" w:space="0" w:color="auto" w:frame="1"/>
        </w:rPr>
        <w:t>The Politics and Erotics of Culture</w:t>
      </w:r>
      <w:r w:rsidRPr="00114586">
        <w:rPr>
          <w:rFonts w:ascii="Cambria" w:eastAsia="Times New Roman" w:hAnsi="Cambria" w:cs="Times New Roman"/>
          <w:color w:val="000000"/>
          <w:sz w:val="24"/>
          <w:szCs w:val="24"/>
        </w:rPr>
        <w:t> (Boston: Beacon Press, 1996); Virginia Scharff, ed., </w:t>
      </w:r>
      <w:r w:rsidRPr="00114586">
        <w:rPr>
          <w:rFonts w:ascii="inherit" w:eastAsia="Times New Roman" w:hAnsi="inherit" w:cs="Times New Roman"/>
          <w:i/>
          <w:iCs/>
          <w:color w:val="000000"/>
          <w:sz w:val="24"/>
          <w:szCs w:val="24"/>
          <w:bdr w:val="none" w:sz="0" w:space="0" w:color="auto" w:frame="1"/>
        </w:rPr>
        <w:t>Seeing Nature throughGender</w:t>
      </w:r>
      <w:r w:rsidRPr="00114586">
        <w:rPr>
          <w:rFonts w:ascii="Cambria" w:eastAsia="Times New Roman" w:hAnsi="Cambria" w:cs="Times New Roman"/>
          <w:color w:val="000000"/>
          <w:sz w:val="24"/>
          <w:szCs w:val="24"/>
        </w:rPr>
        <w:t> (Lawrence: University Press of Kansas, 2003).</w:t>
      </w:r>
    </w:p>
    <w:p w14:paraId="67DC5175" w14:textId="77777777" w:rsidR="00114586" w:rsidRPr="00114586" w:rsidRDefault="00114586" w:rsidP="00114586">
      <w:pPr>
        <w:pStyle w:val="ListParagraph"/>
        <w:numPr>
          <w:ilvl w:val="0"/>
          <w:numId w:val="3"/>
        </w:numPr>
        <w:shd w:val="clear" w:color="auto" w:fill="FFFFFF"/>
        <w:spacing w:after="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More general analyses of the role of gender in science historically include Thomas Laqueur, </w:t>
      </w:r>
      <w:r w:rsidRPr="00114586">
        <w:rPr>
          <w:rFonts w:ascii="inherit" w:eastAsia="Times New Roman" w:hAnsi="inherit" w:cs="Times New Roman"/>
          <w:i/>
          <w:iCs/>
          <w:color w:val="000000"/>
          <w:sz w:val="24"/>
          <w:szCs w:val="24"/>
          <w:bdr w:val="none" w:sz="0" w:space="0" w:color="auto" w:frame="1"/>
        </w:rPr>
        <w:t>Making Sex: Body and Gender from the Greeks toFreud</w:t>
      </w:r>
      <w:r w:rsidRPr="00114586">
        <w:rPr>
          <w:rFonts w:ascii="Cambria" w:eastAsia="Times New Roman" w:hAnsi="Cambria" w:cs="Times New Roman"/>
          <w:color w:val="000000"/>
          <w:sz w:val="24"/>
          <w:szCs w:val="24"/>
        </w:rPr>
        <w:t> (Cambridge, MA: Harvard University Press, 1990); David Noble, </w:t>
      </w:r>
      <w:r w:rsidRPr="00114586">
        <w:rPr>
          <w:rFonts w:ascii="inherit" w:eastAsia="Times New Roman" w:hAnsi="inherit" w:cs="Times New Roman"/>
          <w:i/>
          <w:iCs/>
          <w:color w:val="000000"/>
          <w:sz w:val="24"/>
          <w:szCs w:val="24"/>
          <w:bdr w:val="none" w:sz="0" w:space="0" w:color="auto" w:frame="1"/>
        </w:rPr>
        <w:t>A World</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without Women: The Clerical Culture of Western Science</w:t>
      </w:r>
      <w:r w:rsidRPr="00114586">
        <w:rPr>
          <w:rFonts w:ascii="Cambria" w:eastAsia="Times New Roman" w:hAnsi="Cambria" w:cs="Times New Roman"/>
          <w:color w:val="000000"/>
          <w:sz w:val="24"/>
          <w:szCs w:val="24"/>
        </w:rPr>
        <w:t> (NewYork: Knopf, 1992); Joan Cadden, </w:t>
      </w:r>
      <w:r w:rsidRPr="00114586">
        <w:rPr>
          <w:rFonts w:ascii="inherit" w:eastAsia="Times New Roman" w:hAnsi="inherit" w:cs="Times New Roman"/>
          <w:i/>
          <w:iCs/>
          <w:color w:val="000000"/>
          <w:sz w:val="24"/>
          <w:szCs w:val="24"/>
          <w:bdr w:val="none" w:sz="0" w:space="0" w:color="auto" w:frame="1"/>
        </w:rPr>
        <w:t>Meanings of Sex Differences in the Middle</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Ages: Medicine, Science, and Culture</w:t>
      </w:r>
      <w:r w:rsidRPr="00114586">
        <w:rPr>
          <w:rFonts w:ascii="Cambria" w:eastAsia="Times New Roman" w:hAnsi="Cambria" w:cs="Times New Roman"/>
          <w:color w:val="000000"/>
          <w:sz w:val="24"/>
          <w:szCs w:val="24"/>
        </w:rPr>
        <w:t> (Cambridge: CambridgeUniversity Press, 1993); Londa Schiebinger, </w:t>
      </w:r>
      <w:r w:rsidRPr="00114586">
        <w:rPr>
          <w:rFonts w:ascii="inherit" w:eastAsia="Times New Roman" w:hAnsi="inherit" w:cs="Times New Roman"/>
          <w:i/>
          <w:iCs/>
          <w:color w:val="000000"/>
          <w:sz w:val="24"/>
          <w:szCs w:val="24"/>
          <w:bdr w:val="none" w:sz="0" w:space="0" w:color="auto" w:frame="1"/>
        </w:rPr>
        <w:t>The Mind Has No Sex? Women in the</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Origins of Modern Science</w:t>
      </w:r>
      <w:r w:rsidRPr="00114586">
        <w:rPr>
          <w:rFonts w:ascii="Cambria" w:eastAsia="Times New Roman" w:hAnsi="Cambria" w:cs="Times New Roman"/>
          <w:color w:val="000000"/>
          <w:sz w:val="24"/>
          <w:szCs w:val="24"/>
        </w:rPr>
        <w:t> (Cambridge, MA: HarvardUniversity Press, 1989) and </w:t>
      </w:r>
      <w:r w:rsidRPr="00114586">
        <w:rPr>
          <w:rFonts w:ascii="inherit" w:eastAsia="Times New Roman" w:hAnsi="inherit" w:cs="Times New Roman"/>
          <w:i/>
          <w:iCs/>
          <w:color w:val="000000"/>
          <w:sz w:val="24"/>
          <w:szCs w:val="24"/>
          <w:bdr w:val="none" w:sz="0" w:space="0" w:color="auto" w:frame="1"/>
        </w:rPr>
        <w:t>Has Feminism Changed Science?</w:t>
      </w:r>
      <w:r w:rsidRPr="00114586">
        <w:rPr>
          <w:rFonts w:ascii="Cambria" w:eastAsia="Times New Roman" w:hAnsi="Cambria" w:cs="Times New Roman"/>
          <w:color w:val="000000"/>
          <w:sz w:val="24"/>
          <w:szCs w:val="24"/>
        </w:rPr>
        <w:t> (Cambridge, MA: Harvard University Press, 1999); Clara Pinto-Correla, </w:t>
      </w:r>
      <w:r w:rsidRPr="00114586">
        <w:rPr>
          <w:rFonts w:ascii="inherit" w:eastAsia="Times New Roman" w:hAnsi="inherit" w:cs="Times New Roman"/>
          <w:i/>
          <w:iCs/>
          <w:color w:val="000000"/>
          <w:sz w:val="24"/>
          <w:szCs w:val="24"/>
          <w:bdr w:val="none" w:sz="0" w:space="0" w:color="auto" w:frame="1"/>
        </w:rPr>
        <w:t>The Ovaryof Eve: Egg and</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Sperm and Preformation</w:t>
      </w:r>
      <w:r w:rsidRPr="00114586">
        <w:rPr>
          <w:rFonts w:ascii="Cambria" w:eastAsia="Times New Roman" w:hAnsi="Cambria" w:cs="Times New Roman"/>
          <w:color w:val="000000"/>
          <w:sz w:val="24"/>
          <w:szCs w:val="24"/>
        </w:rPr>
        <w:t> (Chicago: University of Chicago Press, 1997); Ann B. Shteir and Bernard Lightman, eds., </w:t>
      </w:r>
      <w:r w:rsidRPr="00114586">
        <w:rPr>
          <w:rFonts w:ascii="inherit" w:eastAsia="Times New Roman" w:hAnsi="inherit" w:cs="Times New Roman"/>
          <w:i/>
          <w:iCs/>
          <w:color w:val="000000"/>
          <w:sz w:val="24"/>
          <w:szCs w:val="24"/>
          <w:bdr w:val="none" w:sz="0" w:space="0" w:color="auto" w:frame="1"/>
        </w:rPr>
        <w:t>Figuring ItOut: Science, Gender, and Visual Culture</w:t>
      </w:r>
      <w:r w:rsidRPr="00114586">
        <w:rPr>
          <w:rFonts w:ascii="Cambria" w:eastAsia="Times New Roman" w:hAnsi="Cambria" w:cs="Times New Roman"/>
          <w:color w:val="000000"/>
          <w:sz w:val="24"/>
          <w:szCs w:val="24"/>
        </w:rPr>
        <w:t> (Hanover, NH: Dartmouth College, 2006); Monica H. Green, </w:t>
      </w:r>
      <w:r w:rsidRPr="00114586">
        <w:rPr>
          <w:rFonts w:ascii="inherit" w:eastAsia="Times New Roman" w:hAnsi="inherit" w:cs="Times New Roman"/>
          <w:i/>
          <w:iCs/>
          <w:color w:val="000000"/>
          <w:sz w:val="24"/>
          <w:szCs w:val="24"/>
          <w:bdr w:val="none" w:sz="0" w:space="0" w:color="auto" w:frame="1"/>
        </w:rPr>
        <w:t>Making Women’s Medicine Masculine: TheRise of Male Authority</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in Pre-modern Gynaecology</w:t>
      </w:r>
      <w:r w:rsidRPr="00114586">
        <w:rPr>
          <w:rFonts w:ascii="Cambria" w:eastAsia="Times New Roman" w:hAnsi="Cambria" w:cs="Times New Roman"/>
          <w:color w:val="000000"/>
          <w:sz w:val="24"/>
          <w:szCs w:val="24"/>
        </w:rPr>
        <w:t> (New York: Oxford University Press, 2008). A good overview of ideas about menstruation isprovided in Janice Delaney, Mary Jane Lupton, and Emily Toth, </w:t>
      </w:r>
      <w:r w:rsidRPr="00114586">
        <w:rPr>
          <w:rFonts w:ascii="inherit" w:eastAsia="Times New Roman" w:hAnsi="inherit" w:cs="Times New Roman"/>
          <w:i/>
          <w:iCs/>
          <w:color w:val="000000"/>
          <w:sz w:val="24"/>
          <w:szCs w:val="24"/>
          <w:bdr w:val="none" w:sz="0" w:space="0" w:color="auto" w:frame="1"/>
        </w:rPr>
        <w:t>The Curse: A Cultural History of</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Menstruation</w:t>
      </w:r>
      <w:r w:rsidRPr="00114586">
        <w:rPr>
          <w:rFonts w:ascii="Cambria" w:eastAsia="Times New Roman" w:hAnsi="Cambria" w:cs="Times New Roman"/>
          <w:color w:val="000000"/>
          <w:sz w:val="24"/>
          <w:szCs w:val="24"/>
        </w:rPr>
        <w:t> (Urbana: University of IllinoisPress, 1988), and of contraception in Lara Marks, </w:t>
      </w:r>
      <w:r w:rsidRPr="00114586">
        <w:rPr>
          <w:rFonts w:ascii="inherit" w:eastAsia="Times New Roman" w:hAnsi="inherit" w:cs="Times New Roman"/>
          <w:i/>
          <w:iCs/>
          <w:color w:val="000000"/>
          <w:sz w:val="24"/>
          <w:szCs w:val="24"/>
          <w:bdr w:val="none" w:sz="0" w:space="0" w:color="auto" w:frame="1"/>
        </w:rPr>
        <w:t>Sexual Chemistry: An International History of the Pill</w:t>
      </w:r>
      <w:r w:rsidRPr="00114586">
        <w:rPr>
          <w:rFonts w:ascii="Cambria" w:eastAsia="Times New Roman" w:hAnsi="Cambria" w:cs="Times New Roman"/>
          <w:color w:val="000000"/>
          <w:sz w:val="24"/>
          <w:szCs w:val="24"/>
        </w:rPr>
        <w:t> (New Haven, CT: Yale University Press,2001).</w:t>
      </w:r>
    </w:p>
    <w:p w14:paraId="0A2DE035" w14:textId="77777777" w:rsidR="00114586" w:rsidRPr="00114586" w:rsidRDefault="00114586" w:rsidP="00114586">
      <w:pPr>
        <w:pStyle w:val="ListParagraph"/>
        <w:numPr>
          <w:ilvl w:val="0"/>
          <w:numId w:val="3"/>
        </w:numPr>
        <w:shd w:val="clear" w:color="auto" w:fill="FFFFFF"/>
        <w:spacing w:after="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Studies of the social construction of beauty and its links to gender include Susan R. Bordo, </w:t>
      </w:r>
      <w:r w:rsidRPr="00114586">
        <w:rPr>
          <w:rFonts w:ascii="inherit" w:eastAsia="Times New Roman" w:hAnsi="inherit" w:cs="Times New Roman"/>
          <w:i/>
          <w:iCs/>
          <w:color w:val="000000"/>
          <w:sz w:val="24"/>
          <w:szCs w:val="24"/>
          <w:bdr w:val="none" w:sz="0" w:space="0" w:color="auto" w:frame="1"/>
        </w:rPr>
        <w:t>Unbearable Weight: Feminism, Western Culture,and the</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Body</w:t>
      </w:r>
      <w:r w:rsidRPr="00114586">
        <w:rPr>
          <w:rFonts w:ascii="Cambria" w:eastAsia="Times New Roman" w:hAnsi="Cambria" w:cs="Times New Roman"/>
          <w:color w:val="000000"/>
          <w:sz w:val="24"/>
          <w:szCs w:val="24"/>
        </w:rPr>
        <w:t> (Berkeley: University of California Press, 1993); Sander Gilman, </w:t>
      </w:r>
      <w:r w:rsidRPr="00114586">
        <w:rPr>
          <w:rFonts w:ascii="inherit" w:eastAsia="Times New Roman" w:hAnsi="inherit" w:cs="Times New Roman"/>
          <w:i/>
          <w:iCs/>
          <w:color w:val="000000"/>
          <w:sz w:val="24"/>
          <w:szCs w:val="24"/>
          <w:bdr w:val="none" w:sz="0" w:space="0" w:color="auto" w:frame="1"/>
        </w:rPr>
        <w:t>Making the Body Beautiful: A Cultural History of AestheticSurgery</w:t>
      </w:r>
      <w:r w:rsidRPr="00114586">
        <w:rPr>
          <w:rFonts w:ascii="Cambria" w:eastAsia="Times New Roman" w:hAnsi="Cambria" w:cs="Times New Roman"/>
          <w:color w:val="000000"/>
          <w:sz w:val="24"/>
          <w:szCs w:val="24"/>
        </w:rPr>
        <w:t> (Princeton, NJ: Princeton University Press, 1999).</w:t>
      </w:r>
    </w:p>
    <w:p w14:paraId="1CFEF78B" w14:textId="77777777" w:rsidR="00114586" w:rsidRPr="00114586" w:rsidRDefault="00114586" w:rsidP="00114586">
      <w:pPr>
        <w:pStyle w:val="ListParagraph"/>
        <w:numPr>
          <w:ilvl w:val="0"/>
          <w:numId w:val="3"/>
        </w:numPr>
        <w:shd w:val="clear" w:color="auto" w:fill="FFFFFF"/>
        <w:spacing w:after="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lastRenderedPageBreak/>
        <w:t>For discussions of motherhood and fatherhood, see Clarissa W. Alkinson, </w:t>
      </w:r>
      <w:r w:rsidRPr="00114586">
        <w:rPr>
          <w:rFonts w:ascii="inherit" w:eastAsia="Times New Roman" w:hAnsi="inherit" w:cs="Times New Roman"/>
          <w:i/>
          <w:iCs/>
          <w:color w:val="000000"/>
          <w:sz w:val="24"/>
          <w:szCs w:val="24"/>
          <w:bdr w:val="none" w:sz="0" w:space="0" w:color="auto" w:frame="1"/>
        </w:rPr>
        <w:t>The Oldest Vocation: Christian Motherhood in the Middle Ages</w:t>
      </w:r>
      <w:r w:rsidRPr="00114586">
        <w:rPr>
          <w:rFonts w:ascii="Cambria" w:eastAsia="Times New Roman" w:hAnsi="Cambria" w:cs="Times New Roman"/>
          <w:color w:val="000000"/>
          <w:sz w:val="24"/>
          <w:szCs w:val="24"/>
        </w:rPr>
        <w:t>(Ithaca, NY: Cornell University Press, 1991); Ann Taylor Allen, </w:t>
      </w:r>
      <w:r w:rsidRPr="00114586">
        <w:rPr>
          <w:rFonts w:ascii="inherit" w:eastAsia="Times New Roman" w:hAnsi="inherit" w:cs="Times New Roman"/>
          <w:i/>
          <w:iCs/>
          <w:color w:val="000000"/>
          <w:sz w:val="24"/>
          <w:szCs w:val="24"/>
          <w:bdr w:val="none" w:sz="0" w:space="0" w:color="auto" w:frame="1"/>
        </w:rPr>
        <w:t>Feminism and</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Motherhood in Germany,</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1800–1914</w:t>
      </w:r>
      <w:r w:rsidRPr="00114586">
        <w:rPr>
          <w:rFonts w:ascii="Cambria" w:eastAsia="Times New Roman" w:hAnsi="Cambria" w:cs="Times New Roman"/>
          <w:color w:val="000000"/>
          <w:sz w:val="24"/>
          <w:szCs w:val="24"/>
        </w:rPr>
        <w:t> (New Brunswick, NJ: RutgersUniversity Press, 1991); Rima D. Apple and Janet Golden, eds., </w:t>
      </w:r>
      <w:r w:rsidRPr="00114586">
        <w:rPr>
          <w:rFonts w:ascii="inherit" w:eastAsia="Times New Roman" w:hAnsi="inherit" w:cs="Times New Roman"/>
          <w:i/>
          <w:iCs/>
          <w:color w:val="000000"/>
          <w:sz w:val="24"/>
          <w:szCs w:val="24"/>
          <w:bdr w:val="none" w:sz="0" w:space="0" w:color="auto" w:frame="1"/>
        </w:rPr>
        <w:t>Mothers</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and Motherhood: Readings in American History</w:t>
      </w:r>
      <w:r w:rsidRPr="00114586">
        <w:rPr>
          <w:rFonts w:ascii="Cambria" w:eastAsia="Times New Roman" w:hAnsi="Cambria" w:cs="Times New Roman"/>
          <w:color w:val="000000"/>
          <w:sz w:val="24"/>
          <w:szCs w:val="24"/>
        </w:rPr>
        <w:t> (Columbus: Ohio StateUniversity Press, 1997); Ralph LaRossa, </w:t>
      </w:r>
      <w:r w:rsidRPr="00114586">
        <w:rPr>
          <w:rFonts w:ascii="inherit" w:eastAsia="Times New Roman" w:hAnsi="inherit" w:cs="Times New Roman"/>
          <w:i/>
          <w:iCs/>
          <w:color w:val="000000"/>
          <w:sz w:val="24"/>
          <w:szCs w:val="24"/>
          <w:bdr w:val="none" w:sz="0" w:space="0" w:color="auto" w:frame="1"/>
        </w:rPr>
        <w:t>The Modernization of Fatherhood:</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A Social and Political History</w:t>
      </w:r>
      <w:r w:rsidRPr="00114586">
        <w:rPr>
          <w:rFonts w:ascii="Cambria" w:eastAsia="Times New Roman" w:hAnsi="Cambria" w:cs="Times New Roman"/>
          <w:color w:val="000000"/>
          <w:sz w:val="24"/>
          <w:szCs w:val="24"/>
        </w:rPr>
        <w:t> (Chicago: University of Chicago Press,1997); Heléna Ragoné and France Winddance Twine, eds., </w:t>
      </w:r>
      <w:r w:rsidRPr="00114586">
        <w:rPr>
          <w:rFonts w:ascii="inherit" w:eastAsia="Times New Roman" w:hAnsi="inherit" w:cs="Times New Roman"/>
          <w:i/>
          <w:iCs/>
          <w:color w:val="000000"/>
          <w:sz w:val="24"/>
          <w:szCs w:val="24"/>
          <w:bdr w:val="none" w:sz="0" w:space="0" w:color="auto" w:frame="1"/>
        </w:rPr>
        <w:t>Ideologies and</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Technologies of Motherhood: Race, Class, Sexuality, and Nationalism</w:t>
      </w:r>
      <w:r w:rsidRPr="00114586">
        <w:rPr>
          <w:rFonts w:ascii="Cambria" w:eastAsia="Times New Roman" w:hAnsi="Cambria" w:cs="Times New Roman"/>
          <w:color w:val="000000"/>
          <w:sz w:val="24"/>
          <w:szCs w:val="24"/>
        </w:rPr>
        <w:t>(New York: Routledge, 2000); Lynn Trev Broughton and Helen Rogers, eds., </w:t>
      </w:r>
      <w:r w:rsidRPr="00114586">
        <w:rPr>
          <w:rFonts w:ascii="inherit" w:eastAsia="Times New Roman" w:hAnsi="inherit" w:cs="Times New Roman"/>
          <w:i/>
          <w:iCs/>
          <w:color w:val="000000"/>
          <w:sz w:val="24"/>
          <w:szCs w:val="24"/>
          <w:bdr w:val="none" w:sz="0" w:space="0" w:color="auto" w:frame="1"/>
        </w:rPr>
        <w:t>Gender and Fatherhood in the Nineteenth Century</w:t>
      </w:r>
      <w:r w:rsidRPr="00114586">
        <w:rPr>
          <w:rFonts w:ascii="Cambria" w:eastAsia="Times New Roman" w:hAnsi="Cambria" w:cs="Times New Roman"/>
          <w:color w:val="000000"/>
          <w:sz w:val="24"/>
          <w:szCs w:val="24"/>
        </w:rPr>
        <w:t> (New York:Palgrave Macmillan, 2007).</w:t>
      </w:r>
    </w:p>
    <w:p w14:paraId="7C6B625D" w14:textId="77777777" w:rsidR="00114586" w:rsidRPr="00114586" w:rsidRDefault="00114586" w:rsidP="00114586">
      <w:pPr>
        <w:pStyle w:val="ListParagraph"/>
        <w:numPr>
          <w:ilvl w:val="0"/>
          <w:numId w:val="3"/>
        </w:numPr>
        <w:shd w:val="clear" w:color="auto" w:fill="FFFFFF"/>
        <w:spacing w:after="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Almost every book in this list, as well as most of those suggested in the other chapters, refers to ideologies prescribing difference orinequality. For twentieth-century examples of this carried to the extreme, see Claudia Koonz, </w:t>
      </w:r>
      <w:r w:rsidRPr="00114586">
        <w:rPr>
          <w:rFonts w:ascii="inherit" w:eastAsia="Times New Roman" w:hAnsi="inherit" w:cs="Times New Roman"/>
          <w:i/>
          <w:iCs/>
          <w:color w:val="000000"/>
          <w:sz w:val="24"/>
          <w:szCs w:val="24"/>
          <w:bdr w:val="none" w:sz="0" w:space="0" w:color="auto" w:frame="1"/>
        </w:rPr>
        <w:t>Mothers in the Fatherland: Women, the Family,and Nazi Politics</w:t>
      </w:r>
      <w:r w:rsidRPr="00114586">
        <w:rPr>
          <w:rFonts w:ascii="Cambria" w:eastAsia="Times New Roman" w:hAnsi="Cambria" w:cs="Times New Roman"/>
          <w:color w:val="000000"/>
          <w:sz w:val="24"/>
          <w:szCs w:val="24"/>
        </w:rPr>
        <w:t> (New York: St Martin’s Press, 1987); Victoria de Grazia, </w:t>
      </w:r>
      <w:r w:rsidRPr="00114586">
        <w:rPr>
          <w:rFonts w:ascii="inherit" w:eastAsia="Times New Roman" w:hAnsi="inherit" w:cs="Times New Roman"/>
          <w:i/>
          <w:iCs/>
          <w:color w:val="000000"/>
          <w:sz w:val="24"/>
          <w:szCs w:val="24"/>
          <w:bdr w:val="none" w:sz="0" w:space="0" w:color="auto" w:frame="1"/>
        </w:rPr>
        <w:t>How Fascism</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Ruled Women: Italy 1922–1945</w:t>
      </w:r>
      <w:r w:rsidRPr="00114586">
        <w:rPr>
          <w:rFonts w:ascii="Cambria" w:eastAsia="Times New Roman" w:hAnsi="Cambria" w:cs="Times New Roman"/>
          <w:color w:val="000000"/>
          <w:sz w:val="24"/>
          <w:szCs w:val="24"/>
        </w:rPr>
        <w:t> (Berkeley: University ofCalifornia Press, 1992); Kevin Passmore, ed., </w:t>
      </w:r>
      <w:r w:rsidRPr="00114586">
        <w:rPr>
          <w:rFonts w:ascii="inherit" w:eastAsia="Times New Roman" w:hAnsi="inherit" w:cs="Times New Roman"/>
          <w:i/>
          <w:iCs/>
          <w:color w:val="000000"/>
          <w:sz w:val="24"/>
          <w:szCs w:val="24"/>
          <w:bdr w:val="none" w:sz="0" w:space="0" w:color="auto" w:frame="1"/>
        </w:rPr>
        <w:t>Women, Gender and Fascism in Europe, 19191945</w:t>
      </w:r>
      <w:r w:rsidRPr="00114586">
        <w:rPr>
          <w:rFonts w:ascii="Cambria" w:eastAsia="Times New Roman" w:hAnsi="Cambria" w:cs="Times New Roman"/>
          <w:color w:val="000000"/>
          <w:sz w:val="24"/>
          <w:szCs w:val="24"/>
        </w:rPr>
        <w:t> (Manchester: Manchester University Press,2003).</w:t>
      </w:r>
    </w:p>
    <w:p w14:paraId="3EA985F1" w14:textId="77777777" w:rsidR="00114586" w:rsidRPr="00114586" w:rsidRDefault="00114586" w:rsidP="00114586">
      <w:pPr>
        <w:pStyle w:val="ListParagraph"/>
        <w:numPr>
          <w:ilvl w:val="0"/>
          <w:numId w:val="3"/>
        </w:numPr>
        <w:shd w:val="clear" w:color="auto" w:fill="FFFFFF"/>
        <w:spacing w:after="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Studies of egalitarian ideologies, including feminism, are numerous, and becoming more international in their scope. See Sharon L. Sievers, </w:t>
      </w:r>
      <w:r w:rsidRPr="00114586">
        <w:rPr>
          <w:rFonts w:ascii="inherit" w:eastAsia="Times New Roman" w:hAnsi="inherit" w:cs="Times New Roman"/>
          <w:i/>
          <w:iCs/>
          <w:color w:val="000000"/>
          <w:sz w:val="24"/>
          <w:szCs w:val="24"/>
          <w:bdr w:val="none" w:sz="0" w:space="0" w:color="auto" w:frame="1"/>
        </w:rPr>
        <w:t>Flowers</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in Salt: The Beginnings of Feminist Consciousness in Modern Japan</w:t>
      </w:r>
      <w:r w:rsidRPr="00114586">
        <w:rPr>
          <w:rFonts w:ascii="Cambria" w:eastAsia="Times New Roman" w:hAnsi="Cambria" w:cs="Times New Roman"/>
          <w:color w:val="000000"/>
          <w:sz w:val="24"/>
          <w:szCs w:val="24"/>
        </w:rPr>
        <w:t> (Stanford, CA: Stanford University Press, 1983); Linda Kaufmann, </w:t>
      </w:r>
      <w:r w:rsidRPr="00114586">
        <w:rPr>
          <w:rFonts w:ascii="inherit" w:eastAsia="Times New Roman" w:hAnsi="inherit" w:cs="Times New Roman"/>
          <w:i/>
          <w:iCs/>
          <w:color w:val="000000"/>
          <w:sz w:val="24"/>
          <w:szCs w:val="24"/>
          <w:bdr w:val="none" w:sz="0" w:space="0" w:color="auto" w:frame="1"/>
        </w:rPr>
        <w:t>American Feminist Thought at Century’s End: A Reader</w:t>
      </w:r>
      <w:r w:rsidRPr="00114586">
        <w:rPr>
          <w:rFonts w:ascii="Cambria" w:eastAsia="Times New Roman" w:hAnsi="Cambria" w:cs="Times New Roman"/>
          <w:color w:val="000000"/>
          <w:sz w:val="24"/>
          <w:szCs w:val="24"/>
        </w:rPr>
        <w:t> (Cambridge, MA: Harvard University Press, 1993); Chilla Bulbeck, </w:t>
      </w:r>
      <w:r w:rsidRPr="00114586">
        <w:rPr>
          <w:rFonts w:ascii="inherit" w:eastAsia="Times New Roman" w:hAnsi="inherit" w:cs="Times New Roman"/>
          <w:i/>
          <w:iCs/>
          <w:color w:val="000000"/>
          <w:sz w:val="24"/>
          <w:szCs w:val="24"/>
          <w:bdr w:val="none" w:sz="0" w:space="0" w:color="auto" w:frame="1"/>
        </w:rPr>
        <w:t>Re-orienting WesternFeminisms: Women’s</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Diversity in a Post-colonial World</w:t>
      </w:r>
      <w:r w:rsidRPr="00114586">
        <w:rPr>
          <w:rFonts w:ascii="Cambria" w:eastAsia="Times New Roman" w:hAnsi="Cambria" w:cs="Times New Roman"/>
          <w:color w:val="000000"/>
          <w:sz w:val="24"/>
          <w:szCs w:val="24"/>
        </w:rPr>
        <w:t> (Cambridge: Cambridge University Press, 1998); Eileen Janes Yeo, </w:t>
      </w:r>
      <w:r w:rsidRPr="00114586">
        <w:rPr>
          <w:rFonts w:ascii="inherit" w:eastAsia="Times New Roman" w:hAnsi="inherit" w:cs="Times New Roman"/>
          <w:i/>
          <w:iCs/>
          <w:color w:val="000000"/>
          <w:sz w:val="24"/>
          <w:szCs w:val="24"/>
          <w:bdr w:val="none" w:sz="0" w:space="0" w:color="auto" w:frame="1"/>
        </w:rPr>
        <w:t>Radical Femininity:Women’s Self-Representation</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in the Public Sphere</w:t>
      </w:r>
      <w:r w:rsidRPr="00114586">
        <w:rPr>
          <w:rFonts w:ascii="Cambria" w:eastAsia="Times New Roman" w:hAnsi="Cambria" w:cs="Times New Roman"/>
          <w:color w:val="000000"/>
          <w:sz w:val="24"/>
          <w:szCs w:val="24"/>
        </w:rPr>
        <w:t> (London: Manchester University Press, 1998); Sandra Kemp and Judith Squires, </w:t>
      </w:r>
      <w:r w:rsidRPr="00114586">
        <w:rPr>
          <w:rFonts w:ascii="inherit" w:eastAsia="Times New Roman" w:hAnsi="inherit" w:cs="Times New Roman"/>
          <w:i/>
          <w:iCs/>
          <w:color w:val="000000"/>
          <w:sz w:val="24"/>
          <w:szCs w:val="24"/>
          <w:bdr w:val="none" w:sz="0" w:space="0" w:color="auto" w:frame="1"/>
        </w:rPr>
        <w:t>Feminisms</w:t>
      </w:r>
      <w:r w:rsidRPr="00114586">
        <w:rPr>
          <w:rFonts w:ascii="Cambria" w:eastAsia="Times New Roman" w:hAnsi="Cambria" w:cs="Times New Roman"/>
          <w:color w:val="000000"/>
          <w:sz w:val="24"/>
          <w:szCs w:val="24"/>
        </w:rPr>
        <w:t>(Oxford: Oxford University Press, 1998); special issue of </w:t>
      </w:r>
      <w:r w:rsidRPr="00114586">
        <w:rPr>
          <w:rFonts w:ascii="inherit" w:eastAsia="Times New Roman" w:hAnsi="inherit" w:cs="Times New Roman"/>
          <w:i/>
          <w:iCs/>
          <w:color w:val="000000"/>
          <w:sz w:val="24"/>
          <w:szCs w:val="24"/>
          <w:bdr w:val="none" w:sz="0" w:space="0" w:color="auto" w:frame="1"/>
        </w:rPr>
        <w:t>Gender and History</w:t>
      </w:r>
      <w:r w:rsidRPr="00114586">
        <w:rPr>
          <w:rFonts w:ascii="Cambria" w:eastAsia="Times New Roman" w:hAnsi="Cambria" w:cs="Times New Roman"/>
          <w:color w:val="000000"/>
          <w:sz w:val="24"/>
          <w:szCs w:val="24"/>
        </w:rPr>
        <w:t>, “Feminisms and Internationalism,” 10:3 (1998); Karen Offen, </w:t>
      </w:r>
      <w:r w:rsidRPr="00114586">
        <w:rPr>
          <w:rFonts w:ascii="inherit" w:eastAsia="Times New Roman" w:hAnsi="inherit" w:cs="Times New Roman"/>
          <w:i/>
          <w:iCs/>
          <w:color w:val="000000"/>
          <w:sz w:val="24"/>
          <w:szCs w:val="24"/>
          <w:bdr w:val="none" w:sz="0" w:space="0" w:color="auto" w:frame="1"/>
        </w:rPr>
        <w:t>European Feminisms, 1700–1950: A Political</w:t>
      </w:r>
      <w:r w:rsidRPr="00114586">
        <w:rPr>
          <w:rFonts w:ascii="Cambria" w:eastAsia="Times New Roman" w:hAnsi="Cambria" w:cs="Times New Roman"/>
          <w:color w:val="000000"/>
          <w:sz w:val="24"/>
          <w:szCs w:val="24"/>
        </w:rPr>
        <w:t> </w:t>
      </w:r>
      <w:r w:rsidRPr="00114586">
        <w:rPr>
          <w:rFonts w:ascii="inherit" w:eastAsia="Times New Roman" w:hAnsi="inherit" w:cs="Times New Roman"/>
          <w:i/>
          <w:iCs/>
          <w:color w:val="000000"/>
          <w:sz w:val="24"/>
          <w:szCs w:val="24"/>
          <w:bdr w:val="none" w:sz="0" w:space="0" w:color="auto" w:frame="1"/>
        </w:rPr>
        <w:t>History</w:t>
      </w:r>
      <w:r w:rsidRPr="00114586">
        <w:rPr>
          <w:rFonts w:ascii="Cambria" w:eastAsia="Times New Roman" w:hAnsi="Cambria" w:cs="Times New Roman"/>
          <w:color w:val="000000"/>
          <w:sz w:val="24"/>
          <w:szCs w:val="24"/>
        </w:rPr>
        <w:t> (Stanford, CA: Stanford University Press, 2000); Patricia Hill Collins, </w:t>
      </w:r>
      <w:r w:rsidRPr="00114586">
        <w:rPr>
          <w:rFonts w:ascii="inherit" w:eastAsia="Times New Roman" w:hAnsi="inherit" w:cs="Times New Roman"/>
          <w:i/>
          <w:iCs/>
          <w:color w:val="000000"/>
          <w:sz w:val="24"/>
          <w:szCs w:val="24"/>
          <w:bdr w:val="none" w:sz="0" w:space="0" w:color="auto" w:frame="1"/>
        </w:rPr>
        <w:t>Black FeministThought: Knowledge, Consciousness and the Politics of Empowerment</w:t>
      </w:r>
      <w:r w:rsidRPr="00114586">
        <w:rPr>
          <w:rFonts w:ascii="Cambria" w:eastAsia="Times New Roman" w:hAnsi="Cambria" w:cs="Times New Roman"/>
          <w:color w:val="000000"/>
          <w:sz w:val="24"/>
          <w:szCs w:val="24"/>
        </w:rPr>
        <w:t> (2nd edn., New York: Routledge, 2000); Bonnie Smith, ed., </w:t>
      </w:r>
      <w:r w:rsidRPr="00114586">
        <w:rPr>
          <w:rFonts w:ascii="inherit" w:eastAsia="Times New Roman" w:hAnsi="inherit" w:cs="Times New Roman"/>
          <w:i/>
          <w:iCs/>
          <w:color w:val="000000"/>
          <w:sz w:val="24"/>
          <w:szCs w:val="24"/>
          <w:bdr w:val="none" w:sz="0" w:space="0" w:color="auto" w:frame="1"/>
        </w:rPr>
        <w:t>GlobalFeminisms since 1945: Rewriting Histories</w:t>
      </w:r>
      <w:r w:rsidRPr="00114586">
        <w:rPr>
          <w:rFonts w:ascii="Cambria" w:eastAsia="Times New Roman" w:hAnsi="Cambria" w:cs="Times New Roman"/>
          <w:color w:val="000000"/>
          <w:sz w:val="24"/>
          <w:szCs w:val="24"/>
        </w:rPr>
        <w:t> (New York: Routledge, 2000); Chandra Talpade Mohanty, </w:t>
      </w:r>
      <w:r w:rsidRPr="00114586">
        <w:rPr>
          <w:rFonts w:ascii="inherit" w:eastAsia="Times New Roman" w:hAnsi="inherit" w:cs="Times New Roman"/>
          <w:i/>
          <w:iCs/>
          <w:color w:val="000000"/>
          <w:sz w:val="24"/>
          <w:szCs w:val="24"/>
          <w:bdr w:val="none" w:sz="0" w:space="0" w:color="auto" w:frame="1"/>
        </w:rPr>
        <w:t>Feminism without Borders: DecolonizingTheory, Practicing Solidarity</w:t>
      </w:r>
      <w:r w:rsidRPr="00114586">
        <w:rPr>
          <w:rFonts w:ascii="Cambria" w:eastAsia="Times New Roman" w:hAnsi="Cambria" w:cs="Times New Roman"/>
          <w:color w:val="000000"/>
          <w:sz w:val="24"/>
          <w:szCs w:val="24"/>
        </w:rPr>
        <w:t> (Durham, NC: Duke University Press, 2003); Valentine M. Moghadam, </w:t>
      </w:r>
      <w:r w:rsidRPr="00114586">
        <w:rPr>
          <w:rFonts w:ascii="inherit" w:eastAsia="Times New Roman" w:hAnsi="inherit" w:cs="Times New Roman"/>
          <w:i/>
          <w:iCs/>
          <w:color w:val="000000"/>
          <w:sz w:val="24"/>
          <w:szCs w:val="24"/>
          <w:bdr w:val="none" w:sz="0" w:space="0" w:color="auto" w:frame="1"/>
        </w:rPr>
        <w:t>Globalizing Women: Transnational FeministNetworks</w:t>
      </w:r>
      <w:r w:rsidRPr="00114586">
        <w:rPr>
          <w:rFonts w:ascii="Cambria" w:eastAsia="Times New Roman" w:hAnsi="Cambria" w:cs="Times New Roman"/>
          <w:color w:val="000000"/>
          <w:sz w:val="24"/>
          <w:szCs w:val="24"/>
        </w:rPr>
        <w:t> (Baltimore, MD: Johns Hopkins University Press, 2005); Vivien Labaton and Dawn Lundy Martin, eds., </w:t>
      </w:r>
      <w:r w:rsidRPr="00114586">
        <w:rPr>
          <w:rFonts w:ascii="inherit" w:eastAsia="Times New Roman" w:hAnsi="inherit" w:cs="Times New Roman"/>
          <w:i/>
          <w:iCs/>
          <w:color w:val="000000"/>
          <w:sz w:val="24"/>
          <w:szCs w:val="24"/>
          <w:bdr w:val="none" w:sz="0" w:space="0" w:color="auto" w:frame="1"/>
        </w:rPr>
        <w:t>The Fire This Time: YoungActivists and the New Feminism</w:t>
      </w:r>
      <w:r w:rsidRPr="00114586">
        <w:rPr>
          <w:rFonts w:ascii="Cambria" w:eastAsia="Times New Roman" w:hAnsi="Cambria" w:cs="Times New Roman"/>
          <w:color w:val="000000"/>
          <w:sz w:val="24"/>
          <w:szCs w:val="24"/>
        </w:rPr>
        <w:t> (New York: Anchor Books, 2004); Joyce Green, ed. </w:t>
      </w:r>
      <w:r w:rsidRPr="00114586">
        <w:rPr>
          <w:rFonts w:ascii="inherit" w:eastAsia="Times New Roman" w:hAnsi="inherit" w:cs="Times New Roman"/>
          <w:i/>
          <w:iCs/>
          <w:color w:val="000000"/>
          <w:sz w:val="24"/>
          <w:szCs w:val="24"/>
          <w:bdr w:val="none" w:sz="0" w:space="0" w:color="auto" w:frame="1"/>
        </w:rPr>
        <w:t>Making Space for Indigenous Feminism</w:t>
      </w:r>
      <w:r w:rsidRPr="00114586">
        <w:rPr>
          <w:rFonts w:ascii="Cambria" w:eastAsia="Times New Roman" w:hAnsi="Cambria" w:cs="Times New Roman"/>
          <w:color w:val="000000"/>
          <w:sz w:val="24"/>
          <w:szCs w:val="24"/>
        </w:rPr>
        <w:t> (New York: ZedBooks, 2007). For studies of women’s rights movements around the world, see the readings following chapter 6.</w:t>
      </w:r>
    </w:p>
    <w:p w14:paraId="088447A5" w14:textId="77777777" w:rsidR="00114586" w:rsidRPr="00114586" w:rsidRDefault="00114586" w:rsidP="00114586">
      <w:pPr>
        <w:pStyle w:val="ListParagraph"/>
        <w:numPr>
          <w:ilvl w:val="0"/>
          <w:numId w:val="3"/>
        </w:numPr>
        <w:shd w:val="clear" w:color="auto" w:fill="FFFFFF"/>
        <w:spacing w:after="0" w:line="240" w:lineRule="auto"/>
        <w:rPr>
          <w:rFonts w:ascii="Cambria" w:eastAsia="Times New Roman" w:hAnsi="Cambria" w:cs="Times New Roman"/>
          <w:color w:val="000000"/>
          <w:sz w:val="24"/>
          <w:szCs w:val="24"/>
        </w:rPr>
      </w:pPr>
      <w:r w:rsidRPr="00114586">
        <w:rPr>
          <w:rFonts w:ascii="Cambria" w:eastAsia="Times New Roman" w:hAnsi="Cambria" w:cs="Times New Roman"/>
          <w:color w:val="000000"/>
          <w:sz w:val="24"/>
          <w:szCs w:val="24"/>
        </w:rPr>
        <w:t>There is a much longer list of selected readings, along with links to original sources, on the website associated with this book: </w:t>
      </w:r>
      <w:hyperlink r:id="rId14" w:history="1">
        <w:r w:rsidRPr="00114586">
          <w:rPr>
            <w:rFonts w:ascii="inherit" w:eastAsia="Times New Roman" w:hAnsi="inherit" w:cs="Times New Roman"/>
            <w:color w:val="0069D6"/>
            <w:sz w:val="24"/>
            <w:szCs w:val="24"/>
            <w:bdr w:val="none" w:sz="0" w:space="0" w:color="auto" w:frame="1"/>
          </w:rPr>
          <w:t>www.wiley.com/go/wiesnerhanks</w:t>
        </w:r>
      </w:hyperlink>
      <w:r w:rsidRPr="00114586">
        <w:rPr>
          <w:rFonts w:ascii="Cambria" w:eastAsia="Times New Roman" w:hAnsi="Cambria" w:cs="Times New Roman"/>
          <w:color w:val="000000"/>
          <w:sz w:val="24"/>
          <w:szCs w:val="24"/>
        </w:rPr>
        <w:t>.</w:t>
      </w:r>
    </w:p>
    <w:p w14:paraId="5989C014" w14:textId="77777777" w:rsidR="0033598E" w:rsidRDefault="0033598E">
      <w:bookmarkStart w:id="0" w:name="_GoBack"/>
      <w:bookmarkEnd w:id="0"/>
    </w:p>
    <w:sectPr w:rsidR="003359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417917"/>
    <w:multiLevelType w:val="multilevel"/>
    <w:tmpl w:val="4DE83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B37DC7"/>
    <w:multiLevelType w:val="multilevel"/>
    <w:tmpl w:val="23F0F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274182"/>
    <w:multiLevelType w:val="multilevel"/>
    <w:tmpl w:val="A4A27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586"/>
    <w:rsid w:val="00114586"/>
    <w:rsid w:val="0033598E"/>
    <w:rsid w:val="00640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1E79F"/>
  <w15:chartTrackingRefBased/>
  <w15:docId w15:val="{01D8CA58-AB9E-49B0-934E-6BC7E0CC9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11458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4586"/>
    <w:rPr>
      <w:rFonts w:ascii="Times New Roman" w:eastAsia="Times New Roman" w:hAnsi="Times New Roman" w:cs="Times New Roman"/>
      <w:b/>
      <w:bCs/>
      <w:kern w:val="36"/>
      <w:sz w:val="48"/>
      <w:szCs w:val="48"/>
    </w:rPr>
  </w:style>
  <w:style w:type="paragraph" w:customStyle="1" w:styleId="msonormal0">
    <w:name w:val="msonormal"/>
    <w:basedOn w:val="Normal"/>
    <w:rsid w:val="001145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okreaderbigicon">
    <w:name w:val="bookreader_bigicon"/>
    <w:basedOn w:val="Normal"/>
    <w:rsid w:val="0011458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14586"/>
    <w:rPr>
      <w:color w:val="0000FF"/>
      <w:u w:val="single"/>
    </w:rPr>
  </w:style>
  <w:style w:type="character" w:styleId="FollowedHyperlink">
    <w:name w:val="FollowedHyperlink"/>
    <w:basedOn w:val="DefaultParagraphFont"/>
    <w:uiPriority w:val="99"/>
    <w:semiHidden/>
    <w:unhideWhenUsed/>
    <w:rsid w:val="00114586"/>
    <w:rPr>
      <w:color w:val="800080"/>
      <w:u w:val="single"/>
    </w:rPr>
  </w:style>
  <w:style w:type="paragraph" w:customStyle="1" w:styleId="bookreadertinyicon">
    <w:name w:val="bookreader_tinyicon"/>
    <w:basedOn w:val="Normal"/>
    <w:rsid w:val="001145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erd">
    <w:name w:val="werd"/>
    <w:basedOn w:val="DefaultParagraphFont"/>
    <w:rsid w:val="00114586"/>
  </w:style>
  <w:style w:type="paragraph" w:customStyle="1" w:styleId="h1">
    <w:name w:val="h1"/>
    <w:basedOn w:val="Normal"/>
    <w:rsid w:val="001145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aftertitle">
    <w:name w:val="paraaftertitle"/>
    <w:basedOn w:val="Normal"/>
    <w:rsid w:val="0011458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
    <w:name w:val="para"/>
    <w:basedOn w:val="Normal"/>
    <w:rsid w:val="0011458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14586"/>
    <w:rPr>
      <w:i/>
      <w:iCs/>
    </w:rPr>
  </w:style>
  <w:style w:type="paragraph" w:styleId="ListParagraph">
    <w:name w:val="List Paragraph"/>
    <w:basedOn w:val="Normal"/>
    <w:uiPriority w:val="34"/>
    <w:qFormat/>
    <w:rsid w:val="00114586"/>
    <w:pPr>
      <w:ind w:left="720"/>
      <w:contextualSpacing/>
    </w:pPr>
  </w:style>
  <w:style w:type="paragraph" w:customStyle="1" w:styleId="paracontinued">
    <w:name w:val="paracontinued"/>
    <w:basedOn w:val="Normal"/>
    <w:rsid w:val="0011458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529740">
      <w:bodyDiv w:val="1"/>
      <w:marLeft w:val="0"/>
      <w:marRight w:val="0"/>
      <w:marTop w:val="0"/>
      <w:marBottom w:val="0"/>
      <w:divBdr>
        <w:top w:val="none" w:sz="0" w:space="0" w:color="auto"/>
        <w:left w:val="none" w:sz="0" w:space="0" w:color="auto"/>
        <w:bottom w:val="none" w:sz="0" w:space="0" w:color="auto"/>
        <w:right w:val="none" w:sz="0" w:space="0" w:color="auto"/>
      </w:divBdr>
      <w:divsChild>
        <w:div w:id="630595035">
          <w:marLeft w:val="0"/>
          <w:marRight w:val="0"/>
          <w:marTop w:val="0"/>
          <w:marBottom w:val="0"/>
          <w:divBdr>
            <w:top w:val="none" w:sz="0" w:space="0" w:color="auto"/>
            <w:left w:val="none" w:sz="0" w:space="0" w:color="auto"/>
            <w:bottom w:val="none" w:sz="0" w:space="0" w:color="auto"/>
            <w:right w:val="single" w:sz="12" w:space="0" w:color="E8E7E2"/>
          </w:divBdr>
        </w:div>
        <w:div w:id="2012633709">
          <w:marLeft w:val="0"/>
          <w:marRight w:val="0"/>
          <w:marTop w:val="0"/>
          <w:marBottom w:val="0"/>
          <w:divBdr>
            <w:top w:val="none" w:sz="0" w:space="0" w:color="auto"/>
            <w:left w:val="single" w:sz="12" w:space="0" w:color="E8E7E2"/>
            <w:bottom w:val="none" w:sz="0" w:space="0" w:color="auto"/>
            <w:right w:val="none" w:sz="0" w:space="0" w:color="auto"/>
          </w:divBdr>
        </w:div>
        <w:div w:id="1138644565">
          <w:marLeft w:val="0"/>
          <w:marRight w:val="0"/>
          <w:marTop w:val="0"/>
          <w:marBottom w:val="0"/>
          <w:divBdr>
            <w:top w:val="none" w:sz="0" w:space="0" w:color="auto"/>
            <w:left w:val="none" w:sz="0" w:space="0" w:color="auto"/>
            <w:bottom w:val="none" w:sz="0" w:space="0" w:color="auto"/>
            <w:right w:val="none" w:sz="0" w:space="0" w:color="auto"/>
          </w:divBdr>
          <w:divsChild>
            <w:div w:id="834764737">
              <w:marLeft w:val="0"/>
              <w:marRight w:val="0"/>
              <w:marTop w:val="0"/>
              <w:marBottom w:val="0"/>
              <w:divBdr>
                <w:top w:val="none" w:sz="0" w:space="0" w:color="auto"/>
                <w:left w:val="none" w:sz="0" w:space="0" w:color="auto"/>
                <w:bottom w:val="none" w:sz="0" w:space="0" w:color="auto"/>
                <w:right w:val="none" w:sz="0" w:space="0" w:color="auto"/>
              </w:divBdr>
              <w:divsChild>
                <w:div w:id="102127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160107">
      <w:bodyDiv w:val="1"/>
      <w:marLeft w:val="0"/>
      <w:marRight w:val="0"/>
      <w:marTop w:val="0"/>
      <w:marBottom w:val="0"/>
      <w:divBdr>
        <w:top w:val="none" w:sz="0" w:space="0" w:color="auto"/>
        <w:left w:val="none" w:sz="0" w:space="0" w:color="auto"/>
        <w:bottom w:val="none" w:sz="0" w:space="0" w:color="auto"/>
        <w:right w:val="none" w:sz="0" w:space="0" w:color="auto"/>
      </w:divBdr>
    </w:div>
    <w:div w:id="940185771">
      <w:bodyDiv w:val="1"/>
      <w:marLeft w:val="0"/>
      <w:marRight w:val="0"/>
      <w:marTop w:val="0"/>
      <w:marBottom w:val="0"/>
      <w:divBdr>
        <w:top w:val="none" w:sz="0" w:space="0" w:color="auto"/>
        <w:left w:val="none" w:sz="0" w:space="0" w:color="auto"/>
        <w:bottom w:val="none" w:sz="0" w:space="0" w:color="auto"/>
        <w:right w:val="none" w:sz="0" w:space="0" w:color="auto"/>
      </w:divBdr>
    </w:div>
    <w:div w:id="1424255977">
      <w:bodyDiv w:val="1"/>
      <w:marLeft w:val="0"/>
      <w:marRight w:val="0"/>
      <w:marTop w:val="0"/>
      <w:marBottom w:val="0"/>
      <w:divBdr>
        <w:top w:val="none" w:sz="0" w:space="0" w:color="auto"/>
        <w:left w:val="none" w:sz="0" w:space="0" w:color="auto"/>
        <w:bottom w:val="none" w:sz="0" w:space="0" w:color="auto"/>
        <w:right w:val="none" w:sz="0" w:space="0" w:color="auto"/>
      </w:divBdr>
    </w:div>
    <w:div w:id="1457792935">
      <w:bodyDiv w:val="1"/>
      <w:marLeft w:val="0"/>
      <w:marRight w:val="0"/>
      <w:marTop w:val="0"/>
      <w:marBottom w:val="0"/>
      <w:divBdr>
        <w:top w:val="none" w:sz="0" w:space="0" w:color="auto"/>
        <w:left w:val="none" w:sz="0" w:space="0" w:color="auto"/>
        <w:bottom w:val="none" w:sz="0" w:space="0" w:color="auto"/>
        <w:right w:val="none" w:sz="0" w:space="0" w:color="auto"/>
      </w:divBdr>
    </w:div>
    <w:div w:id="1947496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ent.ashford.edu/books/Wiesner.8792.17.1/sections/navpoint-29" TargetMode="External"/><Relationship Id="rId13" Type="http://schemas.openxmlformats.org/officeDocument/2006/relationships/hyperlink" Target="https://content.ashford.edu/books/Wiesner.8792.17.1/sections/navpoint-29" TargetMode="External"/><Relationship Id="rId3" Type="http://schemas.openxmlformats.org/officeDocument/2006/relationships/settings" Target="settings.xml"/><Relationship Id="rId7" Type="http://schemas.openxmlformats.org/officeDocument/2006/relationships/hyperlink" Target="https://content.ashford.edu/print/Wiesner.8792.17.1?sections=navpoint-29&amp;content=all" TargetMode="External"/><Relationship Id="rId12" Type="http://schemas.openxmlformats.org/officeDocument/2006/relationships/hyperlink" Target="https://content.ashford.edu/books/Wiesner.8792.17.1/sections/navpoint-3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content.ashford.edu/books/Wiesner.8792.17.1/sections/navpoint-29" TargetMode="External"/><Relationship Id="rId11" Type="http://schemas.openxmlformats.org/officeDocument/2006/relationships/hyperlink" Target="https://content.ashford.edu/books/Wiesner.8792.17.1/sections/navpoint-28" TargetMode="External"/><Relationship Id="rId5" Type="http://schemas.openxmlformats.org/officeDocument/2006/relationships/hyperlink" Target="https://content.ashford.edu/books/Wiesner.8792.17.1/sections/navpoint-29" TargetMode="External"/><Relationship Id="rId15" Type="http://schemas.openxmlformats.org/officeDocument/2006/relationships/fontTable" Target="fontTable.xml"/><Relationship Id="rId10" Type="http://schemas.openxmlformats.org/officeDocument/2006/relationships/hyperlink" Target="https://content.ashford.edu/books/Wiesner.8792.17.1/sections/navpoint-29" TargetMode="External"/><Relationship Id="rId4" Type="http://schemas.openxmlformats.org/officeDocument/2006/relationships/webSettings" Target="webSettings.xml"/><Relationship Id="rId9" Type="http://schemas.openxmlformats.org/officeDocument/2006/relationships/hyperlink" Target="https://content.ashford.edu/books/Wiesner.8792.17.1/sections/navpoint-29" TargetMode="External"/><Relationship Id="rId14" Type="http://schemas.openxmlformats.org/officeDocument/2006/relationships/hyperlink" Target="http://www.wiley.com/go/wiesnerhan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10037</Words>
  <Characters>57212</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 Bi</dc:creator>
  <cp:keywords/>
  <dc:description/>
  <cp:lastModifiedBy>Cu Bi</cp:lastModifiedBy>
  <cp:revision>1</cp:revision>
  <dcterms:created xsi:type="dcterms:W3CDTF">2018-07-09T07:17:00Z</dcterms:created>
  <dcterms:modified xsi:type="dcterms:W3CDTF">2018-07-09T07:19:00Z</dcterms:modified>
</cp:coreProperties>
</file>